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12" w:line="260" w:lineRule="exact"/>
        <w:ind w:left="2620" w:right="0" w:firstLine="2800"/>
      </w:pPr>
      <w:r>
        <w:rPr>
          <w:lang w:val="ru-RU" w:eastAsia="ru-RU" w:bidi="ru-RU"/>
          <w:w w:val="100"/>
          <w:spacing w:val="0"/>
          <w:color w:val="000000"/>
          <w:position w:val="0"/>
        </w:rPr>
        <w:t>ФГБУ «ФЦТ»</w:t>
      </w:r>
    </w:p>
    <w:p>
      <w:pPr>
        <w:pStyle w:val="Style5"/>
        <w:widowControl w:val="0"/>
        <w:keepNext w:val="0"/>
        <w:keepLines w:val="0"/>
        <w:shd w:val="clear" w:color="auto" w:fill="auto"/>
        <w:bidi w:val="0"/>
        <w:jc w:val="left"/>
        <w:spacing w:before="0" w:after="346" w:line="317" w:lineRule="exact"/>
        <w:ind w:left="5420" w:right="220" w:firstLine="0"/>
      </w:pPr>
      <w:r>
        <w:rPr>
          <w:lang w:val="ru-RU" w:eastAsia="ru-RU" w:bidi="ru-RU"/>
          <w:w w:val="100"/>
          <w:spacing w:val="0"/>
          <w:color w:val="000000"/>
          <w:position w:val="0"/>
        </w:rPr>
        <w:t>ул. Пресненский вал, д. 19/1, г. Москва, 123557</w:t>
      </w:r>
    </w:p>
    <w:p>
      <w:pPr>
        <w:pStyle w:val="Style5"/>
        <w:widowControl w:val="0"/>
        <w:keepNext w:val="0"/>
        <w:keepLines w:val="0"/>
        <w:shd w:val="clear" w:color="auto" w:fill="auto"/>
        <w:bidi w:val="0"/>
        <w:jc w:val="left"/>
        <w:spacing w:before="0" w:after="308" w:line="260" w:lineRule="exact"/>
        <w:ind w:left="2620" w:right="0" w:firstLine="2800"/>
      </w:pPr>
      <w:r>
        <w:rPr>
          <w:lang w:val="ru-RU" w:eastAsia="ru-RU" w:bidi="ru-RU"/>
          <w:w w:val="100"/>
          <w:spacing w:val="0"/>
          <w:color w:val="000000"/>
          <w:position w:val="0"/>
        </w:rPr>
        <w:t>ИП Шавкунов Д.Г.</w:t>
      </w:r>
    </w:p>
    <w:p>
      <w:pPr>
        <w:pStyle w:val="Style5"/>
        <w:widowControl w:val="0"/>
        <w:keepNext w:val="0"/>
        <w:keepLines w:val="0"/>
        <w:shd w:val="clear" w:color="auto" w:fill="auto"/>
        <w:bidi w:val="0"/>
        <w:jc w:val="left"/>
        <w:spacing w:before="0" w:after="349" w:line="322" w:lineRule="exact"/>
        <w:ind w:left="5420" w:right="220" w:firstLine="0"/>
      </w:pPr>
      <w:r>
        <w:rPr>
          <w:lang w:val="ru-RU" w:eastAsia="ru-RU" w:bidi="ru-RU"/>
          <w:w w:val="100"/>
          <w:spacing w:val="0"/>
          <w:color w:val="000000"/>
          <w:position w:val="0"/>
        </w:rPr>
        <w:t>пер.Андреева, д. 8, кв. 21, г. Ростов-на-Дону, 344010</w:t>
      </w:r>
    </w:p>
    <w:p>
      <w:pPr>
        <w:pStyle w:val="Style5"/>
        <w:widowControl w:val="0"/>
        <w:keepNext w:val="0"/>
        <w:keepLines w:val="0"/>
        <w:shd w:val="clear" w:color="auto" w:fill="auto"/>
        <w:bidi w:val="0"/>
        <w:jc w:val="left"/>
        <w:spacing w:before="0" w:after="303" w:line="260" w:lineRule="exact"/>
        <w:ind w:left="2620" w:right="0" w:firstLine="2800"/>
      </w:pPr>
      <w:r>
        <w:rPr>
          <w:lang w:val="ru-RU" w:eastAsia="ru-RU" w:bidi="ru-RU"/>
          <w:w w:val="100"/>
          <w:spacing w:val="0"/>
          <w:color w:val="000000"/>
          <w:position w:val="0"/>
        </w:rPr>
        <w:t>ЗАО «Сбербанк-АСТ»</w:t>
      </w:r>
    </w:p>
    <w:p>
      <w:pPr>
        <w:pStyle w:val="Style7"/>
        <w:tabs>
          <w:tab w:leader="none" w:pos="11721" w:val="right"/>
          <w:tab w:leader="none" w:pos="12777" w:val="right"/>
        </w:tabs>
        <w:widowControl w:val="0"/>
        <w:keepNext w:val="0"/>
        <w:keepLines w:val="0"/>
        <w:shd w:val="clear" w:color="auto" w:fill="auto"/>
        <w:bidi w:val="0"/>
        <w:jc w:val="left"/>
        <w:spacing w:before="0" w:after="0"/>
        <w:ind w:left="2620" w:right="220" w:firstLine="2800"/>
      </w:pPr>
      <w:r>
        <w:rPr>
          <w:rStyle w:val="CharStyle9"/>
          <w:b w:val="0"/>
          <w:bCs w:val="0"/>
        </w:rPr>
        <w:t xml:space="preserve">ул. Большой Саввинский пер., д. 12, стр. 9, г. Москва, 119435 </w:t>
      </w:r>
      <w:r>
        <w:rPr>
          <w:lang w:val="ru-RU" w:eastAsia="ru-RU" w:bidi="ru-RU"/>
          <w:w w:val="100"/>
          <w:spacing w:val="0"/>
          <w:color w:val="000000"/>
          <w:position w:val="0"/>
        </w:rPr>
        <w:t>РЕШЕНИЕ по делу № 077/06/106-18828/2021 о нарушении законодательства о контрактной системе</w:t>
      </w:r>
    </w:p>
    <w:p>
      <w:pPr>
        <w:pStyle w:val="Style10"/>
        <w:numPr>
          <w:ilvl w:val="0"/>
          <w:numId w:val="1"/>
        </w:numPr>
        <w:tabs>
          <w:tab w:leader="none" w:pos="9201" w:val="right"/>
          <w:tab w:leader="none" w:pos="10257" w:val="right"/>
          <w:tab w:leader="none" w:pos="9057" w:val="left"/>
        </w:tabs>
        <w:widowControl w:val="0"/>
        <w:keepNext/>
        <w:keepLines/>
        <w:shd w:val="clear" w:color="auto" w:fill="auto"/>
        <w:bidi w:val="0"/>
        <w:spacing w:before="0" w:after="0"/>
        <w:ind w:left="100" w:right="0" w:firstLine="0"/>
      </w:pPr>
      <w:bookmarkStart w:id="0" w:name="bookmark0"/>
      <w:r>
        <w:rPr>
          <w:lang w:val="ru-RU" w:eastAsia="ru-RU" w:bidi="ru-RU"/>
          <w:w w:val="100"/>
          <w:spacing w:val="0"/>
          <w:color w:val="000000"/>
          <w:position w:val="0"/>
        </w:rPr>
        <w:t>г.</w:t>
        <w:tab/>
        <w:t>Москва</w:t>
      </w:r>
      <w:bookmarkEnd w:id="0"/>
    </w:p>
    <w:p>
      <w:pPr>
        <w:pStyle w:val="Style5"/>
        <w:widowControl w:val="0"/>
        <w:keepNext w:val="0"/>
        <w:keepLines w:val="0"/>
        <w:shd w:val="clear" w:color="auto" w:fill="auto"/>
        <w:bidi w:val="0"/>
        <w:jc w:val="both"/>
        <w:spacing w:before="0" w:after="0" w:line="322" w:lineRule="exact"/>
        <w:ind w:left="100" w:right="20" w:firstLine="5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left"/>
        <w:spacing w:before="0" w:after="0" w:line="322" w:lineRule="exact"/>
        <w:ind w:left="100" w:right="20" w:firstLine="72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left"/>
        <w:spacing w:before="0" w:after="0" w:line="322" w:lineRule="exact"/>
        <w:ind w:left="10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line="322" w:lineRule="exact"/>
        <w:ind w:left="100" w:right="20" w:firstLine="72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widowControl w:val="0"/>
        <w:keepNext w:val="0"/>
        <w:keepLines w:val="0"/>
        <w:shd w:val="clear" w:color="auto" w:fill="auto"/>
        <w:bidi w:val="0"/>
        <w:jc w:val="left"/>
        <w:spacing w:before="0" w:after="0" w:line="322" w:lineRule="exact"/>
        <w:ind w:left="10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left"/>
        <w:spacing w:before="0" w:after="0" w:line="322" w:lineRule="exact"/>
        <w:ind w:left="100" w:right="20" w:firstLine="580"/>
      </w:pPr>
      <w:r>
        <w:rPr>
          <w:lang w:val="ru-RU" w:eastAsia="ru-RU" w:bidi="ru-RU"/>
          <w:w w:val="100"/>
          <w:spacing w:val="0"/>
          <w:color w:val="000000"/>
          <w:position w:val="0"/>
        </w:rPr>
        <w:t>рассмотрение жалобы проводилось дистанционно (посредством конференц</w:t>
        <w:softHyphen/>
        <w:t xml:space="preserve">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представителя ФГБУ «ФЦТ»: Афанасьева С.А., при участии слушателя: Скипина М.Ю.,</w:t>
      </w:r>
    </w:p>
    <w:p>
      <w:pPr>
        <w:pStyle w:val="Style5"/>
        <w:widowControl w:val="0"/>
        <w:keepNext w:val="0"/>
        <w:keepLines w:val="0"/>
        <w:shd w:val="clear" w:color="auto" w:fill="auto"/>
        <w:bidi w:val="0"/>
        <w:jc w:val="both"/>
        <w:spacing w:before="0" w:after="0" w:line="322" w:lineRule="exact"/>
        <w:ind w:left="100" w:right="20" w:firstLine="580"/>
      </w:pPr>
      <w:r>
        <w:rPr>
          <w:lang w:val="ru-RU" w:eastAsia="ru-RU" w:bidi="ru-RU"/>
          <w:w w:val="100"/>
          <w:spacing w:val="0"/>
          <w:color w:val="000000"/>
          <w:position w:val="0"/>
        </w:rPr>
        <w:t>в отсутствие представителей ИП Шавкунов Д.Г., о времени и порядке заседания Комиссии уведомлены письмом Московского УФАС России исх. №ЕИ/63967/21 от 19.10.2021,</w:t>
      </w:r>
    </w:p>
    <w:p>
      <w:pPr>
        <w:pStyle w:val="Style3"/>
        <w:framePr w:w="1685" w:h="394" w:wrap="around" w:vAnchor="text" w:hAnchor="margin" w:x="452" w:y="2310"/>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001927113485</w:t>
      </w:r>
    </w:p>
    <w:p>
      <w:pPr>
        <w:pStyle w:val="Style5"/>
        <w:widowControl w:val="0"/>
        <w:keepNext w:val="0"/>
        <w:keepLines w:val="0"/>
        <w:shd w:val="clear" w:color="auto" w:fill="auto"/>
        <w:bidi w:val="0"/>
        <w:jc w:val="both"/>
        <w:spacing w:before="0" w:after="0" w:line="322" w:lineRule="exact"/>
        <w:ind w:left="100" w:right="20" w:firstLine="580"/>
      </w:pPr>
      <w:r>
        <w:rPr>
          <w:lang w:val="ru-RU" w:eastAsia="ru-RU" w:bidi="ru-RU"/>
          <w:w w:val="100"/>
          <w:spacing w:val="0"/>
          <w:color w:val="000000"/>
          <w:position w:val="0"/>
        </w:rPr>
        <w:t>рассмотрев жалобу ИП Шавкунов Д.Г. (далее — Заявитель) на действия ФГБУ «ФЦТ» (далее — Заказчик) при проведении электронного аукциона на право заключения государственного контракта на поставку серверов (Закупка № 0373100018221000015)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br w:type="page"/>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2"/>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center"/>
        <w:spacing w:before="0" w:after="303" w:line="260" w:lineRule="exact"/>
        <w:ind w:left="0" w:right="34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№ЕИ/63967/21 от 19.10.2021.</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3"/>
        </w:numPr>
        <w:tabs>
          <w:tab w:leader="none" w:pos="1081"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в жалобе указывает на то, что Заказчиком нарушен порядок предоставления разъяснений положений документации.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ч.3 ст.65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На основании ч.4 ст.65 Закона о контрактной системе в течение двух дней с даты поступления от оператора электронной площадки указанного в ч.3 ст.65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w:t>
      </w:r>
      <w:r>
        <w:rPr>
          <w:rStyle w:val="CharStyle13"/>
        </w:rPr>
        <w:t>с указанием предмета запроса</w:t>
      </w:r>
      <w:r>
        <w:rPr>
          <w:lang w:val="ru-RU" w:eastAsia="ru-RU" w:bidi="ru-RU"/>
          <w:w w:val="100"/>
          <w:spacing w:val="0"/>
          <w:color w:val="000000"/>
          <w:position w:val="0"/>
        </w:rPr>
        <w:t>,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 Комиссией Управления установлено, что Заказчиком в Единой информационной системе в сфере закупок размещены разъяснения положений документации об электронном аукционе от 13.10.2021 №РД1 со следующим содержанием: «Уважаемый участник размещения заказа. Техническая характеристика «Наличие средств доверенной загрузки, сертифицированных ФСТЭК» является позицией, предусмотренной КТРУ. Для обеспечения корректной работы модуля доверенной загрузки и невозможности извлечь данный модуль из сервера модуль должен являться составной частью сервера. Реализация модуля доверенной загрузки является программно-аппаратным решением, выбираемым производителем сервера».</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Управления отмечает, что данные Заказчиком разъяснения положений аукционной документации от 13.10.2021 №РД1 не могут считаться надлежащим исполнением Заказчиком требования ч.4 ст.65 Закона о контрактной системе, поскольку данные разъяснения не содержат указания на предмет запроса, что прямо предусмотрено ч.4 ст.65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на основании имеющихся документов и сведений, Комиссия Управления приходит к выводу о нарушении Заказчиком положений ч.4 ст.65 Закона о контрактной системе, что содержит признаки состава административного правонарушения, ответственность за которое предусмотрена ч.1.4 ст.7.30 Кодекса административных правонарушений.</w:t>
      </w:r>
    </w:p>
    <w:p>
      <w:pPr>
        <w:pStyle w:val="Style5"/>
        <w:numPr>
          <w:ilvl w:val="0"/>
          <w:numId w:val="3"/>
        </w:numPr>
        <w:tabs>
          <w:tab w:leader="none" w:pos="1043"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Заявитель в составе жалобы указывает на то, что Заказчиком неправомерно размещено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установленного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(далее - постановление №878), с учетом внесенных изменений постановлением Правительства Российской Федерации от 28 августа 2021 г. № 1432 «О внесении изменений в некоторые акты Правительства Российской Федерации».</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соответствии с п.10 ст.42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Частью 1 статьи 64 Закона о контрактной системе установлено, что документация об электронном аукционе должна содержать информацию, указанную в извещении о проведении такого аукциона.</w:t>
      </w:r>
    </w:p>
    <w:p>
      <w:pPr>
        <w:pStyle w:val="Style5"/>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На основании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Комиссией Управления установлено, что в Единой информационной системе в сфере закупок в составе аукционной документации Заказчиком размещено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установленного постановлением №878.</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Пунктом 4 постановления №878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п.5 постановления №878 в редакции, действующей с 31.08.2021, подтверждением случая, установленного пунктом 4 постановления №878,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из вышеуказанного следует, что с учетом внесенных изменений на основании постановления Правительства Российской Федерации от</w:t>
      </w:r>
    </w:p>
    <w:p>
      <w:pPr>
        <w:pStyle w:val="Style5"/>
        <w:numPr>
          <w:ilvl w:val="0"/>
          <w:numId w:val="5"/>
        </w:numPr>
        <w:tabs>
          <w:tab w:leader="none" w:pos="1416" w:val="left"/>
        </w:tabs>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г. № 1432 «О внесении изменений в некоторые акты Правительства Российской Федерации», вступивших в силу 31.08.2021, в случае невозможности соблюдения ограничений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утвержденных п.4 постановления №878, Заказчику необходимо получить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Комиссией Управления определено, что извещение о проведении аукциона опубликовано в Единой информационной системе в сфере закупок 11.10.2021, что свидетельствует о том, что Заказчик обязан руководствоваться действующей редакцией постановления №878 с учетом внесенных в него изменений, вступив</w:t>
      </w:r>
      <w:r>
        <w:rPr>
          <w:rStyle w:val="CharStyle12"/>
        </w:rPr>
        <w:t>ши</w:t>
      </w:r>
      <w:r>
        <w:rPr>
          <w:lang w:val="ru-RU" w:eastAsia="ru-RU" w:bidi="ru-RU"/>
          <w:w w:val="100"/>
          <w:spacing w:val="0"/>
          <w:color w:val="000000"/>
          <w:position w:val="0"/>
        </w:rPr>
        <w:t>х в силу 31.08.2021.</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Комиссия Управления отмечает, что порядок получения вышеупомянутого разрешения Министерства промышленности и торговли Российской Федерации на момент размещения закупочной процедуры, а также на момент рассмотрения жалобы не утвержден.</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Вместе с тем отсутствие возможности исполнить условия п.5 постановления №878 в части получения разрешения Министерства промышленности и торговли Российской Федерации ведет не к формальному игнорированию данного положения, а к вынужденному установлению в документации ограничений, предусмотренных постановлением №878.</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Аналогичный вывод следует из разъяснения по вопросам применения постановления Правительства Российской Федерации от 28 августа 2021 г. № 1432, опубликованном на сайте Государственной информационной системы промышленности Министерства промышленности и торговли Российской Федерации 09.09.2021 по адресу </w:t>
      </w:r>
      <w:r>
        <w:fldChar w:fldCharType="begin"/>
      </w:r>
      <w:r>
        <w:rPr>
          <w:color w:val="000000"/>
        </w:rPr>
        <w:instrText> HYPERLINK "https://gisp.gov.ru/news/15832233/" </w:instrText>
      </w:r>
      <w:r>
        <w:fldChar w:fldCharType="separate"/>
      </w:r>
      <w:r>
        <w:rPr>
          <w:rStyle w:val="Hyperlink"/>
          <w:lang w:val="en-US" w:eastAsia="en-US" w:bidi="en-US"/>
          <w:w w:val="100"/>
          <w:spacing w:val="0"/>
          <w:position w:val="0"/>
        </w:rPr>
        <w:t>https://gisp.gov.ru/news/15832233/</w:t>
      </w:r>
      <w:r>
        <w:fldChar w:fldCharType="end"/>
      </w:r>
      <w:r>
        <w:rPr>
          <w:lang w:val="en-US" w:eastAsia="en-US" w:bidi="en-US"/>
          <w:w w:val="100"/>
          <w:spacing w:val="0"/>
          <w:color w:val="000000"/>
          <w:position w:val="0"/>
        </w:rPr>
        <w:t>.</w:t>
      </w:r>
    </w:p>
    <w:p>
      <w:pPr>
        <w:pStyle w:val="Style5"/>
        <w:tabs>
          <w:tab w:leader="none" w:pos="8198" w:val="lef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положений ч.3 ст.14, п.10 ст.42, ч.1 ст.64 Закона о контрактной системе при формировании аукционной документации без учета положений постановления №878 в редакции, актуальной на момент размещения Извещения о проведении закупки и не предусматривающей возможность неприменения ограничений по постановлению №878 при размещении обоснования невозможности соблюдения таких ограничений, что содержит признаки состава административного правонарушения, предусмотренного ч.4.2</w:t>
        <w:tab/>
        <w:t>ст.7.30 Кодекса</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Российской Федерации об административных правонарушениях.</w:t>
      </w:r>
    </w:p>
    <w:p>
      <w:pPr>
        <w:pStyle w:val="Style5"/>
        <w:numPr>
          <w:ilvl w:val="0"/>
          <w:numId w:val="3"/>
        </w:numPr>
        <w:tabs>
          <w:tab w:leader="none" w:pos="898"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своей жалобе Заявитель указывает на то, что в аукционной документации установлены требования к товарам не в соответствии с каталогом товаров, работ, услуг для обеспечения государственных и муниципальных нужд (далее — КТРУ).</w:t>
      </w:r>
    </w:p>
    <w:p>
      <w:pPr>
        <w:pStyle w:val="Style5"/>
        <w:tabs>
          <w:tab w:leader="none" w:pos="3493" w:val="left"/>
        </w:tabs>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На основании п.14</w:t>
        <w:tab/>
        <w:t>ч.3 ст.4 Закона о контрактной системе единая</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Согласно ч.5 ст.23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5"/>
        <w:tabs>
          <w:tab w:leader="none" w:pos="3886" w:val="left"/>
        </w:tabs>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В соответствии с ч.6</w:t>
        <w:tab/>
        <w:t>ст.23 Закона о контрактной системе порядок</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п.1 Правил формирования КТРУ указанные Правила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п.2 Правил формирования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указанными Правилами.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«г» и «е» - «з» п.10 Правил формирования КТРУ.</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w:t>
      </w:r>
    </w:p>
    <w:p>
      <w:pPr>
        <w:pStyle w:val="Style5"/>
        <w:tabs>
          <w:tab w:leader="none" w:pos="1038"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а)</w:t>
        <w:tab/>
        <w:t>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w:t>
      </w:r>
    </w:p>
    <w:p>
      <w:pPr>
        <w:pStyle w:val="Style5"/>
        <w:tabs>
          <w:tab w:leader="none" w:pos="975" w:val="left"/>
        </w:tabs>
        <w:widowControl w:val="0"/>
        <w:keepNext w:val="0"/>
        <w:keepLines w:val="0"/>
        <w:shd w:val="clear" w:color="auto" w:fill="auto"/>
        <w:bidi w:val="0"/>
        <w:jc w:val="both"/>
        <w:spacing w:before="0" w:after="0" w:line="322" w:lineRule="exact"/>
        <w:ind w:left="20" w:right="40" w:firstLine="560"/>
      </w:pPr>
      <w:r>
        <w:rPr>
          <w:lang w:val="ru-RU" w:eastAsia="ru-RU" w:bidi="ru-RU"/>
          <w:w w:val="100"/>
          <w:spacing w:val="0"/>
          <w:color w:val="000000"/>
          <w:position w:val="0"/>
        </w:rPr>
        <w:t>б)</w:t>
        <w:tab/>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Закона о контрактной системе.</w:t>
      </w:r>
    </w:p>
    <w:p>
      <w:pPr>
        <w:pStyle w:val="Style5"/>
        <w:widowControl w:val="0"/>
        <w:keepNext w:val="0"/>
        <w:keepLines w:val="0"/>
        <w:shd w:val="clear" w:color="auto" w:fill="auto"/>
        <w:bidi w:val="0"/>
        <w:jc w:val="both"/>
        <w:spacing w:before="0" w:after="0" w:line="322" w:lineRule="exact"/>
        <w:ind w:left="20" w:right="40" w:firstLine="560"/>
      </w:pPr>
      <w:r>
        <w:rPr>
          <w:lang w:val="ru-RU" w:eastAsia="ru-RU" w:bidi="ru-RU"/>
          <w:w w:val="100"/>
          <w:spacing w:val="0"/>
          <w:color w:val="000000"/>
          <w:position w:val="0"/>
        </w:rPr>
        <w:t>В соответствии с п.6 Правил использования КТРУ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5"/>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 xml:space="preserve">В своей жалобе Заявитель указывает на то, что Заказчиком в технической части аукционной документации установлены требования к товарам, в частности, к товару п.4 «Сервер тип 4», вместе с тем, в таблице 2 технического задания «Гарантийные обязательства Поставщика. Срок гарантии качества» Заказчиком фактически предъявлены требований к товарам, которые в свою очередь не отражены в соответствующей позиции КТРУ, в частности: «Для сервера с предусмотренным комплектацией адаптером </w:t>
      </w:r>
      <w:r>
        <w:rPr>
          <w:lang w:val="en-US" w:eastAsia="en-US" w:bidi="en-US"/>
          <w:w w:val="100"/>
          <w:spacing w:val="0"/>
          <w:color w:val="000000"/>
          <w:position w:val="0"/>
        </w:rPr>
        <w:t xml:space="preserve">HBA </w:t>
      </w:r>
      <w:r>
        <w:rPr>
          <w:lang w:val="ru-RU" w:eastAsia="ru-RU" w:bidi="ru-RU"/>
          <w:w w:val="100"/>
          <w:spacing w:val="0"/>
          <w:color w:val="000000"/>
          <w:position w:val="0"/>
        </w:rPr>
        <w:t xml:space="preserve">должны поставляться трансиверы (если это предусмотрено конструкцией адаптера) и оптические мультимодовые патч-корды длинной 5 метров с интерфейсом </w:t>
      </w:r>
      <w:r>
        <w:rPr>
          <w:lang w:val="en-US" w:eastAsia="en-US" w:bidi="en-US"/>
          <w:w w:val="100"/>
          <w:spacing w:val="0"/>
          <w:color w:val="000000"/>
          <w:position w:val="0"/>
        </w:rPr>
        <w:t>LC-LC».</w:t>
      </w:r>
    </w:p>
    <w:p>
      <w:pPr>
        <w:pStyle w:val="Style5"/>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Данный товар относится к коду КТРУ 26.20.14.000-00000190 «Сервер», в то же самое время вышеуказанные характеристики не содержаться в описании позиции КТРУ 26.20.14.000-00000190, что противоречит п.5 Правил использования КТРУ, согласно которому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№878.</w:t>
      </w:r>
    </w:p>
    <w:p>
      <w:pPr>
        <w:pStyle w:val="Style5"/>
        <w:widowControl w:val="0"/>
        <w:keepNext w:val="0"/>
        <w:keepLines w:val="0"/>
        <w:shd w:val="clear" w:color="auto" w:fill="auto"/>
        <w:bidi w:val="0"/>
        <w:jc w:val="both"/>
        <w:spacing w:before="0" w:after="0" w:line="322" w:lineRule="exact"/>
        <w:ind w:left="20" w:right="40" w:firstLine="56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ч.6 ст.23 Закона о контрактной системе, а также о наличии в действиях Заказчика признаков административного правонарушения, ответственность за которое предусмотрено частью 4.2 статьи 7.30 Кодекса Российской Федерации административных правонарушениях.</w:t>
      </w:r>
    </w:p>
    <w:p>
      <w:pPr>
        <w:pStyle w:val="Style5"/>
        <w:numPr>
          <w:ilvl w:val="0"/>
          <w:numId w:val="3"/>
        </w:numPr>
        <w:tabs>
          <w:tab w:leader="none" w:pos="975" w:val="left"/>
        </w:tabs>
        <w:widowControl w:val="0"/>
        <w:keepNext w:val="0"/>
        <w:keepLines w:val="0"/>
        <w:shd w:val="clear" w:color="auto" w:fill="auto"/>
        <w:bidi w:val="0"/>
        <w:jc w:val="both"/>
        <w:spacing w:before="0" w:after="0" w:line="322" w:lineRule="exact"/>
        <w:ind w:left="20" w:right="40" w:firstLine="560"/>
      </w:pPr>
      <w:r>
        <w:rPr>
          <w:lang w:val="ru-RU" w:eastAsia="ru-RU" w:bidi="ru-RU"/>
          <w:w w:val="100"/>
          <w:spacing w:val="0"/>
          <w:color w:val="000000"/>
          <w:position w:val="0"/>
        </w:rPr>
        <w:t>Согласно доводам жалобы Заказчиком в нарушение ч.3 ст.33 Закона о контрактной системе неправомерно установлены следующие требования:</w:t>
      </w:r>
    </w:p>
    <w:p>
      <w:pPr>
        <w:pStyle w:val="Style5"/>
        <w:widowControl w:val="0"/>
        <w:keepNext w:val="0"/>
        <w:keepLines w:val="0"/>
        <w:shd w:val="clear" w:color="auto" w:fill="auto"/>
        <w:bidi w:val="0"/>
        <w:jc w:val="both"/>
        <w:spacing w:before="0" w:after="0" w:line="322" w:lineRule="exact"/>
        <w:ind w:left="20" w:right="40" w:firstLine="560"/>
      </w:pPr>
      <w:r>
        <w:rPr>
          <w:lang w:val="ru-RU" w:eastAsia="ru-RU" w:bidi="ru-RU"/>
          <w:w w:val="100"/>
          <w:spacing w:val="0"/>
          <w:color w:val="000000"/>
          <w:position w:val="0"/>
        </w:rPr>
        <w:t xml:space="preserve">«Необходимо, чтобы </w:t>
      </w:r>
      <w:r>
        <w:rPr>
          <w:rStyle w:val="CharStyle13"/>
        </w:rPr>
        <w:t>Поставщик обеспечил контактные телефоны, расположенные в городе Москва</w:t>
      </w:r>
      <w:r>
        <w:rPr>
          <w:lang w:val="ru-RU" w:eastAsia="ru-RU" w:bidi="ru-RU"/>
          <w:w w:val="100"/>
          <w:spacing w:val="0"/>
          <w:color w:val="000000"/>
          <w:position w:val="0"/>
        </w:rPr>
        <w:t>, по которым представитель Заказчика мог информировать квалифицированный персонал Поставщика или его Представителя о дефектах в работе оборудования. Вышеупомянутый персонал Поставщика или его Представителя должен свободно владеть русским языком».</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Таким образом, устанавливая требования о том, что контактные телефоны должны быть расположены в г. Москве, Заказчик устанавливает требование о наличии у исполнителя производственных мощностей, технологического оборудования и других ресурсов, что противоречит ч.3 ст.33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Согласно ч.3 ст.33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заседании Комиссии Управления представитель Заказчика пояснил, что представление контактных телефонов, находящихся в г. Москве, необходимо для устранения дополнительных расходов на междугороднюю или международную связь, непредусмотренных объемом финансирования на 2021 год. При этом исполнитель может представить любые контактные номера телефонов, на которые звонок из г. Москва должен быть бесплатным.</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Комиссия Управления отмечает, что исходя из пояснений представителя Заказчика, обоснованием вышеуказанных требований является обеспечение исполнителем бесплатной «горячей линии», принимающей звонки из г. Москвы на безвозмездной основе, при этом, по мнению Комиссии Управления, организация бесплатной «горячей линии» может осуществляться не только на территории г. Москвы, но и, например, на территории Московской области, которая также будет иметь бесплатную горячую линии на звонки из г. Москвы или путем переадресации.</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При этом Комиссия Управления отмечает, что императивное требование о представлении контактных телефон, находящихся в г. Москве, не обоснованно, и как следствие нарушает ч.3 ст.33 Закона о контрактной системе, что содержит признаки состава административного правонарушения, ответственность за которое предусмотрено частью 4.2 статьи 7.30 Кодекса Российской Федерации административных правонарушениях.</w:t>
      </w:r>
    </w:p>
    <w:p>
      <w:pPr>
        <w:pStyle w:val="Style5"/>
        <w:numPr>
          <w:ilvl w:val="0"/>
          <w:numId w:val="3"/>
        </w:numPr>
        <w:tabs>
          <w:tab w:leader="none" w:pos="894"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Также Заявитель указывает на то, что Заказчиком неправомерно установлено требование о том, что все поставляемое оборудование должно соответствовать требованиям санитарных норм допустимых уровней физических факторов при применении товаров народного потребления МСанПиН 001-96.</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 в разделе 1 «1. Область применения» МСанПиН 001-96 установлено, что настоящие санитарные правила и нормы (СанПиН) устанавливают допустимые уровни физических факторов, обеспечивающие безопасное и безвредное для здоровья человека применение товаров народного потребления (ТНП) в бытовых условиях.</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МСанПин 001-96 «Санитарные нормы допустимых уровней физических факторов при применении товаров народного потребления в бытовых условиях» не применяется для настоящей закупки, поскольку, по мнению Заявителя, к юридическом лицу, которым является Заказчик, неприменимо понятие «бытовые условия».</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Не согласившись с вышеуказанным доводом жалобы представитель Заказчика пояснил, что требования МСанПин 001-96 распространяются на товары народного потребления, производимые в странах Содружества Независимых Государств, и ввозимые на их территории, обязательны для соблюдения органами, предприятиями, учреждениями, организациями, общественными объединениями, независимо от форм собственности, должностными лицами и гражданами.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Заказчиком правомерно установлено требование о том, что все поставляемое оборудование должно соответствовать требованиям санитарных норм допустимых уровней физических факторов при применении товаров народного потребления МСанПиН 001-96.</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ч. 9 ст. 105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а также на заседание Комиссии Управления Заявителем не представлено документов и сведений, свидетельствующих о невозможности формирования заявки в соответствии с требованиями аукционной документации, а также не представлено документов и доказательств, свидетельствующих об ограничении количества участников закупки и о нарушении Заказчиком норм законодательства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вышеизложенного, а также с учетом пояснений представителя Заказчика, Комиссия Управления приходит к выводу, что доводы жалобы не нашли своего подтверждения и являются необоснованными.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7"/>
        <w:widowControl w:val="0"/>
        <w:keepNext w:val="0"/>
        <w:keepLines w:val="0"/>
        <w:shd w:val="clear" w:color="auto" w:fill="auto"/>
        <w:bidi w:val="0"/>
        <w:jc w:val="center"/>
        <w:spacing w:before="0" w:after="0" w:line="260" w:lineRule="exact"/>
        <w:ind w:left="0" w:right="0" w:firstLine="0"/>
      </w:pPr>
      <w:r>
        <w:rPr>
          <w:lang w:val="ru-RU" w:eastAsia="ru-RU" w:bidi="ru-RU"/>
          <w:w w:val="100"/>
          <w:spacing w:val="0"/>
          <w:color w:val="000000"/>
          <w:position w:val="0"/>
        </w:rPr>
        <w:t>Р Е Ш И Л А:</w:t>
      </w:r>
    </w:p>
    <w:p>
      <w:pPr>
        <w:pStyle w:val="Style5"/>
        <w:numPr>
          <w:ilvl w:val="0"/>
          <w:numId w:val="7"/>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жалобу ИП Шавкунов Д.Г. на действия ФГБУ «ФЦТ» обоснованной в части формирования аукционной документации без учета положений постановления №878 в редакции, актуальной на момент размещения Извещения о проведении закупки, установления неправомерных требований к исполнителю, ненадлежащего формирования разъяснений положений аукционной документации, а также установлении требований к товарам не в соответствии с КТРУ.</w:t>
      </w:r>
    </w:p>
    <w:p>
      <w:pPr>
        <w:pStyle w:val="Style5"/>
        <w:numPr>
          <w:ilvl w:val="0"/>
          <w:numId w:val="7"/>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в действиях Заказчика нарушение ч. 4 ст. 65, ч.3 ст.14, п.10 ст.42, ч.1 ст.64, ч.6 ст.23, ч.3 ст.33 Закона о контрактной системе.</w:t>
      </w:r>
    </w:p>
    <w:p>
      <w:pPr>
        <w:pStyle w:val="Style5"/>
        <w:numPr>
          <w:ilvl w:val="0"/>
          <w:numId w:val="7"/>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7"/>
        </w:numPr>
        <w:widowControl w:val="0"/>
        <w:keepNext w:val="0"/>
        <w:keepLines w:val="0"/>
        <w:shd w:val="clear" w:color="auto" w:fill="auto"/>
        <w:bidi w:val="0"/>
        <w:jc w:val="both"/>
        <w:spacing w:before="0" w:after="300" w:line="322" w:lineRule="exact"/>
        <w:ind w:left="2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3"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857" w:val="right"/>
          <w:tab w:leader="none" w:pos="1016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10162" w:val="right"/>
          <w:tab w:leader="none" w:pos="10201"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П.А.</w:t>
        <w:tab/>
        <w:t>Ступченко</w:t>
      </w:r>
    </w:p>
    <w:p>
      <w:pPr>
        <w:pStyle w:val="Style5"/>
        <w:widowControl w:val="0"/>
        <w:keepNext w:val="0"/>
        <w:keepLines w:val="0"/>
        <w:shd w:val="clear" w:color="auto" w:fill="auto"/>
        <w:bidi w:val="0"/>
        <w:jc w:val="right"/>
        <w:spacing w:before="0" w:after="4850" w:line="643" w:lineRule="exact"/>
        <w:ind w:left="0" w:right="20" w:firstLine="0"/>
      </w:pPr>
      <w:r>
        <w:rPr>
          <w:lang w:val="ru-RU" w:eastAsia="ru-RU" w:bidi="ru-RU"/>
          <w:w w:val="100"/>
          <w:spacing w:val="0"/>
          <w:color w:val="000000"/>
          <w:position w:val="0"/>
        </w:rPr>
        <w:t>В.А. Матвеев</w:t>
      </w:r>
    </w:p>
    <w:p>
      <w:pPr>
        <w:pStyle w:val="Style14"/>
        <w:widowControl w:val="0"/>
        <w:keepNext w:val="0"/>
        <w:keepLines w:val="0"/>
        <w:shd w:val="clear" w:color="auto" w:fill="auto"/>
        <w:bidi w:val="0"/>
        <w:jc w:val="left"/>
        <w:spacing w:before="0" w:after="0"/>
        <w:ind w:left="20" w:right="7040" w:firstLine="0"/>
      </w:pPr>
      <w:r>
        <w:rPr>
          <w:lang w:val="ru-RU" w:eastAsia="ru-RU" w:bidi="ru-RU"/>
          <w:w w:val="100"/>
          <w:spacing w:val="0"/>
          <w:color w:val="000000"/>
          <w:position w:val="0"/>
        </w:rPr>
        <w:t>Исп. Матвеев Владислав Александрович 8 (495) 784-75-05</w:t>
      </w:r>
    </w:p>
    <w:sectPr>
      <w:footnotePr>
        <w:pos w:val="pageBottom"/>
        <w:numFmt w:val="decimal"/>
        <w:numRestart w:val="continuous"/>
      </w:footnotePr>
      <w:type w:val="continuous"/>
      <w:pgSz w:w="11906" w:h="16838"/>
      <w:pgMar w:top="1118" w:left="807" w:right="783"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2.10.%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8.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 + Не полужирный"/>
    <w:basedOn w:val="CharStyle8"/>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4500"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