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43" w:after="0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Федеральное казенное учреждение «Объединенное стратегическое командование Северного флота»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2" w:lineRule="exact"/>
        <w:ind w:left="20" w:right="10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5" w:left="1178" w:right="1322" w:bottom="54" w:header="0" w:footer="3" w:gutter="0"/>
          <w:rtlGutter w:val="0"/>
          <w:cols w:num="2" w:space="720" w:equalWidth="0">
            <w:col w:w="3848" w:space="1242"/>
            <w:col w:w="431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184606, г. Североморск Мурманской обл., ул. Корабельная д. 1а </w:t>
      </w:r>
      <w:r>
        <w:rPr>
          <w:rStyle w:val="CharStyle6"/>
        </w:rPr>
        <w:t xml:space="preserve">sf </w:t>
      </w:r>
      <w:r>
        <w:fldChar w:fldCharType="begin"/>
      </w:r>
      <w:r>
        <w:rPr>
          <w:rStyle w:val="CharStyle6"/>
        </w:rPr>
        <w:instrText> HYPERLINK "mailto:ogz@mil.ru" </w:instrText>
      </w:r>
      <w:r>
        <w:fldChar w:fldCharType="separate"/>
      </w:r>
      <w:r>
        <w:rPr>
          <w:rStyle w:val="Hyperlink"/>
        </w:rPr>
        <w:t>ogz@mil.ru</w:t>
      </w:r>
      <w:r>
        <w:fldChar w:fldCharType="end"/>
      </w: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26" w:line="274" w:lineRule="exact"/>
        <w:ind w:left="0" w:right="0" w:firstLine="0"/>
      </w:pPr>
      <w:r>
        <w:rPr>
          <w:rStyle w:val="CharStyle5"/>
        </w:rPr>
        <w:t>УПРАВЛЕНИЕ Федеральной антимонопольной службы по Мурманской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01"/>
        <w:ind w:left="220" w:right="0" w:firstLine="0"/>
      </w:pPr>
      <w:r>
        <w:rPr>
          <w:rStyle w:val="CharStyle9"/>
        </w:rPr>
        <w:t xml:space="preserve">ул. Академика Книповича, 9а. г. Мурманск. 183038 Тел: (8152) 68-50-43. факс (8152) 68-50-43 </w:t>
      </w:r>
      <w:r>
        <w:rPr>
          <w:rStyle w:val="CharStyle9"/>
          <w:lang w:val="en-US" w:eastAsia="en-US" w:bidi="en-US"/>
        </w:rPr>
        <w:t>E-mail: to5</w:t>
      </w:r>
      <w:r>
        <w:rPr>
          <w:rStyle w:val="CharStyle9"/>
        </w:rPr>
        <w:t xml:space="preserve">1 </w:t>
      </w:r>
      <w:r>
        <w:rPr>
          <w:rStyle w:val="CharStyle10"/>
        </w:rPr>
        <w:t>"&lt;r</w:t>
      </w:r>
      <w:r>
        <w:rPr>
          <w:rStyle w:val="CharStyle9"/>
          <w:lang w:val="en-US" w:eastAsia="en-US" w:bidi="en-US"/>
        </w:rPr>
        <w:t>f«s gov.ru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</w:pPr>
      <w:r>
        <w:rPr>
          <w:rStyle w:val="CharStyle13"/>
          <w:i w:val="0"/>
          <w:iCs w:val="0"/>
        </w:rPr>
        <w:t xml:space="preserve">от </w:t>
      </w:r>
      <w:r>
        <w:rPr>
          <w:rStyle w:val="CharStyle14"/>
          <w:lang w:val="ru-RU" w:eastAsia="ru-RU" w:bidi="ru-RU"/>
          <w:i/>
          <w:iCs/>
        </w:rPr>
        <w:t xml:space="preserve">Л. </w:t>
      </w:r>
      <w:r>
        <w:rPr>
          <w:rStyle w:val="CharStyle14"/>
          <w:i/>
          <w:iCs/>
        </w:rPr>
        <w:t>W. dodf</w:t>
      </w:r>
      <w:r>
        <w:rPr>
          <w:rStyle w:val="CharStyle15"/>
          <w:i/>
          <w:iCs/>
        </w:rPr>
        <w:t xml:space="preserve"> </w:t>
      </w:r>
      <w:r>
        <w:rPr>
          <w:rStyle w:val="CharStyle16"/>
          <w:i/>
          <w:iCs/>
        </w:rPr>
        <w:t>к</w:t>
      </w:r>
      <w:r>
        <w:rPr>
          <w:rStyle w:val="CharStyle17"/>
          <w:i/>
          <w:iCs/>
        </w:rPr>
        <w:t>МФб/М '№/Ам</w:t>
      </w:r>
      <w:r>
        <w:rPr>
          <w:rStyle w:val="CharStyle16"/>
          <w:i/>
          <w:iCs/>
        </w:rPr>
        <w:t xml:space="preserve">/ </w:t>
      </w:r>
      <w:r>
        <w:rPr>
          <w:rStyle w:val="CharStyle18"/>
          <w:i/>
          <w:iCs/>
        </w:rPr>
        <w:t>-</w:t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0" w:firstLine="0"/>
      </w:pPr>
      <w:bookmarkStart w:id="0" w:name="bookmark0"/>
      <w:r>
        <w:rPr>
          <w:rStyle w:val="CharStyle21"/>
          <w:i/>
          <w:iCs/>
        </w:rPr>
        <w:t>тч</w:t>
      </w:r>
      <w:bookmarkEnd w:id="0"/>
    </w:p>
    <w:p>
      <w:pPr>
        <w:pStyle w:val="Style7"/>
        <w:tabs>
          <w:tab w:leader="underscore" w:pos="2369" w:val="right"/>
          <w:tab w:leader="underscore" w:pos="43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0" w:right="0" w:firstLine="0"/>
      </w:pPr>
      <w:r>
        <w:rPr>
          <w:rStyle w:val="CharStyle9"/>
        </w:rPr>
        <w:t>На №</w:t>
      </w:r>
      <w:r>
        <w:rPr>
          <w:rStyle w:val="CharStyle22"/>
          <w:lang w:val="ru-RU" w:eastAsia="ru-RU" w:bidi="ru-RU"/>
        </w:rPr>
        <w:tab/>
      </w:r>
      <w:r>
        <w:rPr>
          <w:rStyle w:val="CharStyle9"/>
        </w:rPr>
        <w:t>от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«ПрофЭксперт»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Юридический адрес: 236019, г. Калининград,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Беланова, д. 107, кв.77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Фактический адрес: 236039, г. Калининград,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Эпроновская, д. 20, офис X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Тел.: 8 981-462-21-65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/>
        <w:ind w:left="20" w:right="0" w:firstLine="0"/>
      </w:pPr>
      <w:r>
        <w:fldChar w:fldCharType="begin"/>
      </w:r>
      <w:r>
        <w:rPr>
          <w:rStyle w:val="CharStyle25"/>
        </w:rPr>
        <w:instrText> HYPERLINK "mailto:profexpeit.ora@yandex.ru" </w:instrText>
      </w:r>
      <w:r>
        <w:fldChar w:fldCharType="separate"/>
      </w:r>
      <w:r>
        <w:rPr>
          <w:rStyle w:val="Hyperlink"/>
        </w:rPr>
        <w:t>profexpeit.ora@yandex.ru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Специализированная электронная площадка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2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ACT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ГОЗ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2" w:lineRule="exact"/>
        <w:ind w:left="20" w:right="0" w:firstLine="0"/>
        <w:sectPr>
          <w:type w:val="continuous"/>
          <w:pgSz w:w="11906" w:h="16838"/>
          <w:pgMar w:top="25" w:left="922" w:right="1383" w:bottom="54" w:header="0" w:footer="3" w:gutter="0"/>
          <w:rtlGutter w:val="0"/>
          <w:cols w:num="2" w:space="720" w:equalWidth="0">
            <w:col w:w="4903" w:space="425"/>
            <w:col w:w="4273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"mailto:info@astgoz.ru"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info@astgoz.ru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2" w:after="7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9"/>
        <w:widowControl w:val="0"/>
        <w:keepNext/>
        <w:keepLines/>
        <w:shd w:val="clear" w:color="auto" w:fill="auto"/>
        <w:bidi w:val="0"/>
        <w:spacing w:before="0" w:after="320"/>
        <w:ind w:left="0" w:right="320" w:firstLine="0"/>
      </w:pPr>
      <w:bookmarkStart w:id="1" w:name="bookmark1"/>
      <w:r>
        <w:rPr>
          <w:rStyle w:val="CharStyle31"/>
          <w:b/>
          <w:bCs/>
        </w:rPr>
        <w:t xml:space="preserve">РЕШЕНИЕ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делу № 051/06/106-738/2021</w:t>
      </w:r>
      <w:bookmarkEnd w:id="1"/>
    </w:p>
    <w:p>
      <w:pPr>
        <w:pStyle w:val="Style3"/>
        <w:tabs>
          <w:tab w:leader="none" w:pos="8005" w:val="right"/>
          <w:tab w:leader="none" w:pos="8595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3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 октября 2021 года</w:t>
        <w:tab/>
        <w:t>город</w:t>
        <w:tab/>
        <w:t>Мурманск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(далее по тексту решения — Комиссия Мурманского УФАС России)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Мурманского УФАС России: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Ворониной К.Ф. - начальника отдела контроля торгов Управления Федеральной антимонопольной службы по Мурманской области,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 Мурманского УФАС России: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Гребенюковой М.Е. - заместителя начальника отдела контро.ля торгов Управления Федеральной антимонопольной службы по Мурманской области,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Неплюевой А.В. - главного специалиста-эксперта отдела контроля торгов Управления Федеральной антимонопольной службы по Мурманской области; при участии представителей: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Федеральное казенное учреждение «Объединенное стратегическое командование Северного флота» - Степанова Д.В.,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общества с ограниченной ответственностью «ПрофЭксперт» - Яковлевой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O.K.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(по доверенности),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731" w:line="274" w:lineRule="exact"/>
        <w:ind w:left="20" w:right="4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общества с ограниченной ответственностью «ПрофЭксперт» на действия Единой комиссии Федерального казенного учреждения «Объединенное стратегическое командование Северного флота» при проведении закрытого аукциона с учетом положений ст. 111 Закона № 44-ФЗ на проведение работ по техническому обследованию стационарных резервуаров для нужд федерального казенного учреждения «Объединенное стратегическое командование Северного флота» в 2022 году. (0849100002821000114), (далее по тексту решения — аукцион)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по тексту решения - Закон о контрактной системе) и в результате проведения внеплановой проверки в соответствии с пунктом 1 части 15 статьи 99 Закона о контрактной системе,</w:t>
      </w:r>
    </w:p>
    <w:p>
      <w:pPr>
        <w:pStyle w:val="Style32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20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055064</w:t>
      </w:r>
      <w:bookmarkEnd w:id="2"/>
      <w:r>
        <w:br w:type="page"/>
      </w:r>
    </w:p>
    <w:p>
      <w:pPr>
        <w:pStyle w:val="Style34"/>
        <w:widowControl w:val="0"/>
        <w:keepNext/>
        <w:keepLines/>
        <w:shd w:val="clear" w:color="auto" w:fill="auto"/>
        <w:bidi w:val="0"/>
        <w:jc w:val="left"/>
        <w:spacing w:before="0" w:after="321" w:line="230" w:lineRule="exact"/>
        <w:ind w:left="414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3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Мурманской области 18.10.2021г. поступила жалоба ООО «ПрофЭксперт» на действия аукционной комиссии.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считает действия (бездействия) аукционной комиссии Заказчика по допуску к участию в Аукционе заявки ООО "Инженерный консалтинг" и признанию его победителем Аукциона незаконными и необоснованными, нарушающими требования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со сложившейся ситуацией с коронавирусной инфекцией по указанию ЦА ФАС России, жалоба Общества рассмотрена дистанционно 25 октября 2021 года в 14 часов 30 минут посредством сервиса веб-видеоконференцсвязи.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Мурманского УФАС России, изучив доводы Заявителя, возражения Заказчика, аукционной комиссии исследовав представленные сторонами документы, приходит к следующим выводам.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 существа дела следует, что извещение о проведении Электронного аукциона размещено 13.09.2021 на официальном сайте единой информационной системы в сфере закупок -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по тексту решения - ЕИС).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объекта закупки: Проведение работ по техническому обследованию стационарных резервуаров для нужд федерального казенного учреждения «Объединенное стратегическое командование Северного флота» в 2022 году.</w:t>
      </w:r>
    </w:p>
    <w:p>
      <w:pPr>
        <w:pStyle w:val="Style3"/>
        <w:tabs>
          <w:tab w:leader="none" w:pos="519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Заказчик, Уполномоченный орган:</w:t>
        <w:tab/>
        <w:t>Федеральное казенное учреждение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3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«Объединенное стратегическое командование Северного флота».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rStyle w:val="CharStyle38"/>
          <w:i w:val="0"/>
          <w:iCs w:val="0"/>
        </w:rPr>
        <w:t xml:space="preserve">В соответствии с пунктом 1 части 2 статьи 31 Закона о контрактной системе, при осуществлении закупки заказчик устанавливает следующие единые требования к участникам закупки, а именно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части 1 статьи 64 Закона о контрактной системе установлено, что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3-6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2 статьи 66 Закона о контрактной системе заявка на участие в электронном аукционе состоит из двух частей.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части 5 статьи 66 Закона о контрактной системе, вторая часть заявки на участие в электронном аукционе должна содержать следующие документы и информацию, в том числе документы, подтверждающие соответствие участника такого аукциона требованиям, установленным пунктом 1 части 1 статьи 31 настоящего Федерального закона, или копии этих документов.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1.1 раздела 1 «Требования к содержанию и составу заявки на участие в закрытом аукционе и инструкция по ее заполнению» документации об аукционе установлено, что вторая часть заявки на участие в электронном аукционе должна содержать лицензию на осуществление деятельности по проведению экспертизы промышленной безопасности в соответствии с требованиями Федерального закона от 04 мая 2011 г. № 99-ФЗ «О лицензировании отдельных видов деятельности», Федерального закона от 21 ию.ля 1997 г. № 116-ФЗ «О промышленной безопасности опасных производственных объектов».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силу вышеизложенных требований законодательства о контрактной системе в сфере закупок и требований Заказчика, участнику закупки необходимо было представить копию лицензии на осуществление деятельности по проведению экспертизы промышленной безопасности.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Порядок рассмотрения вторых частей заявок на участие в электронном аукционе регламентирован статьёй 69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69 Закона о контрактной системе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статьёй (часть 2 статьи 69 Закона о контрактной системе).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Мурманского УФАС России в ходе изучения фактических обстоятельств дела установила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протокола № 0849100002821000114-3 от 06 октября 2021 года по результатам рассмотрения вторых частей заявок на участие в закрытом аукционе было принято решение о соответствии всех заявок на участие в закрытом аукционе требованиям, установленным документацией о закрытом аукционе. Победителем закрытого аукциона было признано ООО "ИНЖЕНЕРНЫЙ КОНСАЛТИНГ", ИНН 2543080394.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6 статьи 69 Федерального закона о контрактной системе,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предусмотренном нормативными правовыми актами, принятыми в соответствии со статьей 14 настоящего Федерального закона.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соответствии с частью 1, частью 2, пунктов 1 и 2 части 6 статьи 69 Закона о контрактной системе, Комиссия заказчика обязана установить соответствие участника требованиям, установленным в соответствии с законодательством Российской Федерации к лицам, осуществляющим поставку товара, выполнение работы оказание услуги, являющихся объектом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Мурманского УФАС России была проанализирована заявка победителя торгов (ООО "ИНЖЕНЕРНЫЙ КОНСАЛТИНГ") и установлено, что данный участник представил во второй части заявки копию лицензии на осуществление деятельности по проведению экспертизы промышленной безопасности №ДЭ-00-017617 от 19 июня 2020г.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этом, согласно сведениям из реестра Федеральной службы по экологическому, технологическому и атомному надзору данная лицензия в реестре отсутствует.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таких обстоятельствах Единая комиссия уполномоченного органа неправомерно признала заявку общества соответствующей требованиям документации об электронном аукционе.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0" w:right="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чем, Комиссия Мурманского УФАС России усматривает в действиях Единой комиссии Заказчика нарушение требований пунктов 1 и 2 части 6 статьи 69 Закона о контрактной системе, в связи с чем довод жалобы признается обоснованным.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0" w:right="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статьёй 106 Закона о контрактной системе, Комиссия по контролю в сфере закупок товаров, работ, услуг для обеспечения государственных и муниципальных нужд,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27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26"/>
        <w:framePr w:h="213" w:wrap="around" w:vAnchor="text" w:hAnchor="margin" w:x="226" w:y="19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</w:pPr>
      <w:r>
        <w:rPr>
          <w:rStyle w:val="CharStyle28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7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общества с ограниченной ответственностью «ПрофЭксперт» на действия Единой комиссии Федерального казённого учреждения «Объединённое стратегическое командование Северного флота» при проведении закрытого аукциона с учётом положений ст. 111 Закона № 44-ФЗ на проведение работ по техническому обследованию стационарных резервуаров для нужд федерального казённого учреждения «Объединённое стратегическое командование Северного флота» в 2022 году. (0849100002821000114) признать 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1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Единую комиссию Федерального казённого учреждения «Объединённое стратегическое командование Северного флота» нарушившей пункты 1 и 2 части 6 статьи 69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277" w:lineRule="exact"/>
        <w:ind w:left="1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Выдать Единой комиссию Заказчика предписание об устранении выявленных нарушений.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277" w:lineRule="exact"/>
        <w:ind w:left="0" w:right="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течение трёх месяцев со дня его принятия.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3" w:line="277" w:lineRule="exact"/>
        <w:ind w:left="0" w:right="9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Председателя комиссии Мурманского УФАС России: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9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 Мурманского УФАС России:</w:t>
      </w:r>
    </w:p>
    <w:sectPr>
      <w:type w:val="continuous"/>
      <w:pgSz w:w="11906" w:h="16838"/>
      <w:pgMar w:top="561" w:left="920" w:right="920" w:bottom="317" w:header="0" w:footer="3" w:gutter="328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6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8">
    <w:name w:val="Основной текст (2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9">
    <w:name w:val="Основной текст (2)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2) + 5 pt,Курсив,Интервал -1 pt"/>
    <w:basedOn w:val="CharStyle8"/>
    <w:rPr>
      <w:lang w:val="en-US" w:eastAsia="en-US" w:bidi="en-US"/>
      <w:i/>
      <w:iCs/>
      <w:sz w:val="10"/>
      <w:szCs w:val="10"/>
      <w:w w:val="100"/>
      <w:spacing w:val="-2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30"/>
    </w:rPr>
  </w:style>
  <w:style w:type="character" w:customStyle="1" w:styleId="CharStyle13">
    <w:name w:val="Основной текст (3) + Не курсив,Интервал 0 pt"/>
    <w:basedOn w:val="CharStyle12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4">
    <w:name w:val="Основной текст (3) + Интервал 0 pt"/>
    <w:basedOn w:val="CharStyle12"/>
    <w:rPr>
      <w:lang w:val="en-US" w:eastAsia="en-US" w:bidi="en-US"/>
      <w:u w:val="single"/>
      <w:w w:val="100"/>
      <w:spacing w:val="10"/>
      <w:color w:val="000000"/>
      <w:position w:val="0"/>
    </w:rPr>
  </w:style>
  <w:style w:type="character" w:customStyle="1" w:styleId="CharStyle15">
    <w:name w:val="Основной текст (3) + Интервал 0 pt"/>
    <w:basedOn w:val="CharStyle12"/>
    <w:rPr>
      <w:lang w:val="en-US" w:eastAsia="en-US" w:bidi="en-US"/>
      <w:w w:val="100"/>
      <w:spacing w:val="10"/>
      <w:color w:val="000000"/>
      <w:position w:val="0"/>
    </w:rPr>
  </w:style>
  <w:style w:type="character" w:customStyle="1" w:styleId="CharStyle16">
    <w:name w:val="Основной текст (3)"/>
    <w:basedOn w:val="CharStyle12"/>
    <w:rPr>
      <w:lang w:val="ru-RU" w:eastAsia="ru-RU" w:bidi="ru-RU"/>
      <w:w w:val="100"/>
      <w:color w:val="000000"/>
      <w:position w:val="0"/>
    </w:rPr>
  </w:style>
  <w:style w:type="character" w:customStyle="1" w:styleId="CharStyle17">
    <w:name w:val="Основной текст (3)"/>
    <w:basedOn w:val="CharStyle1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8">
    <w:name w:val="Основной текст (3)"/>
    <w:basedOn w:val="CharStyle12"/>
    <w:rPr>
      <w:lang w:val="ru-RU" w:eastAsia="ru-RU" w:bidi="ru-RU"/>
      <w:w w:val="100"/>
      <w:color w:val="000000"/>
      <w:position w:val="0"/>
    </w:rPr>
  </w:style>
  <w:style w:type="character" w:customStyle="1" w:styleId="CharStyle20">
    <w:name w:val="Заголовок №1_"/>
    <w:basedOn w:val="DefaultParagraphFont"/>
    <w:link w:val="Style19"/>
    <w:rPr>
      <w:b w:val="0"/>
      <w:bCs w:val="0"/>
      <w:i/>
      <w:iCs/>
      <w:u w:val="none"/>
      <w:strike w:val="0"/>
      <w:smallCaps w:val="0"/>
      <w:sz w:val="34"/>
      <w:szCs w:val="34"/>
      <w:rFonts w:ascii="Tahoma" w:eastAsia="Tahoma" w:hAnsi="Tahoma" w:cs="Tahoma"/>
      <w:spacing w:val="-10"/>
    </w:rPr>
  </w:style>
  <w:style w:type="character" w:customStyle="1" w:styleId="CharStyle21">
    <w:name w:val="Заголовок №1"/>
    <w:basedOn w:val="CharStyle20"/>
    <w:rPr>
      <w:lang w:val="ru-RU" w:eastAsia="ru-RU" w:bidi="ru-RU"/>
      <w:w w:val="100"/>
      <w:color w:val="000000"/>
      <w:position w:val="0"/>
    </w:rPr>
  </w:style>
  <w:style w:type="character" w:customStyle="1" w:styleId="CharStyle22">
    <w:name w:val="Основной текст (2)"/>
    <w:basedOn w:val="CharStyle8"/>
    <w:rPr>
      <w:lang w:val="1024"/>
      <w:w w:val="100"/>
      <w:spacing w:val="0"/>
      <w:color w:val="000000"/>
      <w:position w:val="0"/>
    </w:rPr>
  </w:style>
  <w:style w:type="character" w:customStyle="1" w:styleId="CharStyle24">
    <w:name w:val="Основной текст (4)_"/>
    <w:basedOn w:val="DefaultParagraphFont"/>
    <w:link w:val="Style2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5">
    <w:name w:val="Основной текст (4)"/>
    <w:basedOn w:val="CharStyle24"/>
    <w:rPr>
      <w:u w:val="single"/>
      <w:w w:val="100"/>
      <w:spacing w:val="0"/>
      <w:color w:val="000000"/>
      <w:position w:val="0"/>
    </w:rPr>
  </w:style>
  <w:style w:type="character" w:customStyle="1" w:styleId="CharStyle27">
    <w:name w:val="Основной текст (6) Exact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8"/>
      <w:szCs w:val="8"/>
      <w:rFonts w:ascii="Tahoma" w:eastAsia="Tahoma" w:hAnsi="Tahoma" w:cs="Tahoma"/>
    </w:rPr>
  </w:style>
  <w:style w:type="character" w:customStyle="1" w:styleId="CharStyle28">
    <w:name w:val="Основной текст (6) + Trebuchet MS,9 pt Exact"/>
    <w:basedOn w:val="CharStyle27"/>
    <w:rPr>
      <w:lang w:val="ru-RU" w:eastAsia="ru-RU" w:bidi="ru-RU"/>
      <w:sz w:val="18"/>
      <w:szCs w:val="18"/>
      <w:rFonts w:ascii="Trebuchet MS" w:eastAsia="Trebuchet MS" w:hAnsi="Trebuchet MS" w:cs="Trebuchet MS"/>
      <w:w w:val="100"/>
      <w:spacing w:val="0"/>
      <w:color w:val="000000"/>
      <w:position w:val="0"/>
    </w:rPr>
  </w:style>
  <w:style w:type="character" w:customStyle="1" w:styleId="CharStyle30">
    <w:name w:val="Заголовок №3_"/>
    <w:basedOn w:val="DefaultParagraphFont"/>
    <w:link w:val="Style29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1">
    <w:name w:val="Заголовок №3 + 11,5 pt"/>
    <w:basedOn w:val="CharStyle30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33">
    <w:name w:val="Заголовок №2_"/>
    <w:basedOn w:val="DefaultParagraphFont"/>
    <w:link w:val="Style32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5">
    <w:name w:val="Заголовок №3 (2)_"/>
    <w:basedOn w:val="DefaultParagraphFont"/>
    <w:link w:val="Style34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7">
    <w:name w:val="Основной текст (5)_"/>
    <w:basedOn w:val="DefaultParagraphFont"/>
    <w:link w:val="Style36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8">
    <w:name w:val="Основной текст (5) + Не курсив"/>
    <w:basedOn w:val="CharStyle37"/>
    <w:rPr>
      <w:lang w:val="ru-RU" w:eastAsia="ru-RU" w:bidi="ru-RU"/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before="180" w:line="263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before="180" w:after="180" w:line="216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30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FFFFFF"/>
      <w:jc w:val="right"/>
      <w:outlineLvl w:val="0"/>
      <w:spacing w:line="0" w:lineRule="exact"/>
    </w:pPr>
    <w:rPr>
      <w:b w:val="0"/>
      <w:bCs w:val="0"/>
      <w:i/>
      <w:iCs/>
      <w:u w:val="none"/>
      <w:strike w:val="0"/>
      <w:smallCaps w:val="0"/>
      <w:sz w:val="34"/>
      <w:szCs w:val="34"/>
      <w:rFonts w:ascii="Tahoma" w:eastAsia="Tahoma" w:hAnsi="Tahoma" w:cs="Tahoma"/>
      <w:spacing w:val="-10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FFFFFF"/>
      <w:jc w:val="both"/>
      <w:spacing w:after="180" w:line="252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6">
    <w:name w:val="Основной текст (6)"/>
    <w:basedOn w:val="Normal"/>
    <w:link w:val="CharStyle2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ahoma" w:eastAsia="Tahoma" w:hAnsi="Tahoma" w:cs="Tahoma"/>
    </w:rPr>
  </w:style>
  <w:style w:type="paragraph" w:customStyle="1" w:styleId="Style29">
    <w:name w:val="Заголовок №3"/>
    <w:basedOn w:val="Normal"/>
    <w:link w:val="CharStyle30"/>
    <w:pPr>
      <w:widowControl w:val="0"/>
      <w:shd w:val="clear" w:color="auto" w:fill="FFFFFF"/>
      <w:jc w:val="center"/>
      <w:outlineLvl w:val="2"/>
      <w:spacing w:after="240" w:line="32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2">
    <w:name w:val="Заголовок №2"/>
    <w:basedOn w:val="Normal"/>
    <w:link w:val="CharStyle33"/>
    <w:pPr>
      <w:widowControl w:val="0"/>
      <w:shd w:val="clear" w:color="auto" w:fill="FFFFFF"/>
      <w:jc w:val="right"/>
      <w:outlineLvl w:val="1"/>
      <w:spacing w:before="7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4">
    <w:name w:val="Заголовок №3 (2)"/>
    <w:basedOn w:val="Normal"/>
    <w:link w:val="CharStyle35"/>
    <w:pPr>
      <w:widowControl w:val="0"/>
      <w:shd w:val="clear" w:color="auto" w:fill="FFFFFF"/>
      <w:outlineLvl w:val="2"/>
      <w:spacing w:after="42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6">
    <w:name w:val="Основной текст (5)"/>
    <w:basedOn w:val="Normal"/>
    <w:link w:val="CharStyle37"/>
    <w:pPr>
      <w:widowControl w:val="0"/>
      <w:shd w:val="clear" w:color="auto" w:fill="FFFFFF"/>
      <w:jc w:val="both"/>
      <w:spacing w:before="240" w:line="274" w:lineRule="exact"/>
      <w:ind w:firstLine="58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