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43"/>
        <w:ind w:left="20" w:right="0" w:firstLine="0"/>
      </w:pPr>
      <w:r>
        <w:rPr>
          <w:lang w:val="ru-RU" w:eastAsia="ru-RU" w:bidi="ru-RU"/>
          <w:sz w:val="24"/>
          <w:szCs w:val="24"/>
          <w:w w:val="100"/>
          <w:spacing w:val="0"/>
          <w:color w:val="000000"/>
          <w:position w:val="0"/>
        </w:rPr>
        <w:t>ФЕДЕРАЛЬНАЯ АНТИМОНОПОЛЬНАЯ СЛУЖБА (ФАС России)</w:t>
      </w:r>
    </w:p>
    <w:p>
      <w:pPr>
        <w:pStyle w:val="Style5"/>
        <w:widowControl w:val="0"/>
        <w:keepNext/>
        <w:keepLines/>
        <w:shd w:val="clear" w:color="auto" w:fill="auto"/>
        <w:bidi w:val="0"/>
        <w:spacing w:before="0" w:after="115"/>
        <w:ind w:left="20" w:right="0" w:firstLine="0"/>
      </w:pPr>
      <w:bookmarkStart w:id="0" w:name="bookmark0"/>
      <w:r>
        <w:rPr>
          <w:lang w:val="ru-RU" w:eastAsia="ru-RU" w:bidi="ru-RU"/>
          <w:w w:val="100"/>
          <w:spacing w:val="0"/>
          <w:color w:val="000000"/>
          <w:position w:val="0"/>
        </w:rPr>
        <w:t>УПРАВЛЕНИЕ ПО КАМЧАТСКОМУ КРАЮ</w:t>
      </w:r>
      <w:bookmarkEnd w:id="0"/>
    </w:p>
    <w:p>
      <w:pPr>
        <w:pStyle w:val="Style7"/>
        <w:widowControl w:val="0"/>
        <w:keepNext w:val="0"/>
        <w:keepLines w:val="0"/>
        <w:shd w:val="clear" w:color="auto" w:fill="auto"/>
        <w:bidi w:val="0"/>
        <w:spacing w:before="0" w:after="57"/>
        <w:ind w:left="20" w:right="0" w:firstLine="0"/>
      </w:pPr>
      <w:r>
        <w:rPr>
          <w:lang w:val="ru-RU" w:eastAsia="ru-RU" w:bidi="ru-RU"/>
          <w:w w:val="100"/>
          <w:spacing w:val="0"/>
          <w:color w:val="000000"/>
          <w:position w:val="0"/>
        </w:rPr>
        <w:t>Ленинградская ул., д. 90, Петропавловск-Камчатский, 683003</w:t>
      </w:r>
    </w:p>
    <w:p>
      <w:pPr>
        <w:pStyle w:val="Style7"/>
        <w:widowControl w:val="0"/>
        <w:keepNext w:val="0"/>
        <w:keepLines w:val="0"/>
        <w:shd w:val="clear" w:color="auto" w:fill="auto"/>
        <w:bidi w:val="0"/>
        <w:spacing w:before="0" w:after="373" w:line="256" w:lineRule="exact"/>
        <w:ind w:left="20" w:right="0" w:firstLine="0"/>
      </w:pPr>
      <w:r>
        <w:rPr>
          <w:lang w:val="ru-RU" w:eastAsia="ru-RU" w:bidi="ru-RU"/>
          <w:w w:val="100"/>
          <w:spacing w:val="0"/>
          <w:color w:val="000000"/>
          <w:position w:val="0"/>
        </w:rPr>
        <w:t xml:space="preserve">Тел ./факс (4152) 42-58-74 Эл. почта: </w:t>
      </w:r>
      <w:r>
        <w:fldChar w:fldCharType="begin"/>
      </w:r>
      <w:r>
        <w:rPr>
          <w:color w:val="000000"/>
        </w:rPr>
        <w:instrText> HYPERLINK "mailto:to41@fas.gov.ru" </w:instrText>
      </w:r>
      <w:r>
        <w:fldChar w:fldCharType="separate"/>
      </w:r>
      <w:r>
        <w:rPr>
          <w:rStyle w:val="Hyperlink"/>
          <w:lang w:val="en-US" w:eastAsia="en-US" w:bidi="en-US"/>
          <w:w w:val="100"/>
          <w:spacing w:val="0"/>
          <w:position w:val="0"/>
        </w:rPr>
        <w:t>to41@fas.gov.ru</w:t>
      </w:r>
      <w:r>
        <w:fldChar w:fldCharType="end"/>
      </w:r>
    </w:p>
    <w:p>
      <w:pPr>
        <w:pStyle w:val="Style9"/>
        <w:tabs>
          <w:tab w:leader="none" w:pos="1916" w:val="left"/>
        </w:tabs>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0"/>
          <w:color w:val="000000"/>
          <w:position w:val="0"/>
        </w:rPr>
        <w:t>На №</w:t>
        <w:tab/>
        <w:t>от</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sz w:val="24"/>
          <w:szCs w:val="24"/>
          <w:w w:val="100"/>
          <w:spacing w:val="0"/>
          <w:color w:val="000000"/>
          <w:position w:val="0"/>
        </w:rPr>
        <w:t>Заказчик:</w:t>
      </w:r>
    </w:p>
    <w:p>
      <w:pPr>
        <w:pStyle w:val="Style9"/>
        <w:widowControl w:val="0"/>
        <w:keepNext w:val="0"/>
        <w:keepLines w:val="0"/>
        <w:shd w:val="clear" w:color="auto" w:fill="auto"/>
        <w:bidi w:val="0"/>
        <w:jc w:val="left"/>
        <w:spacing w:before="0" w:after="240" w:line="295" w:lineRule="exact"/>
        <w:ind w:left="20" w:right="40" w:firstLine="0"/>
      </w:pPr>
      <w:r>
        <w:rPr>
          <w:lang w:val="ru-RU" w:eastAsia="ru-RU" w:bidi="ru-RU"/>
          <w:sz w:val="24"/>
          <w:szCs w:val="24"/>
          <w:w w:val="100"/>
          <w:spacing w:val="0"/>
          <w:color w:val="000000"/>
          <w:position w:val="0"/>
        </w:rPr>
        <w:t>ГБУЗ «Камчатская краевая больница им. А.С. Лукашевского» ул. Ленинградская, 112, г. Петропавловск-Камчатский</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sz w:val="24"/>
          <w:szCs w:val="24"/>
          <w:w w:val="100"/>
          <w:spacing w:val="0"/>
          <w:color w:val="000000"/>
          <w:position w:val="0"/>
        </w:rPr>
        <w:t>Заявитель:</w:t>
      </w:r>
    </w:p>
    <w:p>
      <w:pPr>
        <w:pStyle w:val="Style9"/>
        <w:widowControl w:val="0"/>
        <w:keepNext w:val="0"/>
        <w:keepLines w:val="0"/>
        <w:shd w:val="clear" w:color="auto" w:fill="auto"/>
        <w:bidi w:val="0"/>
        <w:jc w:val="left"/>
        <w:spacing w:before="0" w:after="243" w:line="295" w:lineRule="exact"/>
        <w:ind w:left="20" w:right="40" w:firstLine="0"/>
      </w:pPr>
      <w:r>
        <w:rPr>
          <w:lang w:val="ru-RU" w:eastAsia="ru-RU" w:bidi="ru-RU"/>
          <w:sz w:val="24"/>
          <w:szCs w:val="24"/>
          <w:w w:val="100"/>
          <w:spacing w:val="0"/>
          <w:color w:val="000000"/>
          <w:position w:val="0"/>
        </w:rPr>
        <w:t>ООО «Сибспецстройпроект» офис 324, к.5, д. 40, ул. Королева, г. Новосибирск, 630015</w:t>
      </w:r>
    </w:p>
    <w:p>
      <w:pPr>
        <w:pStyle w:val="Style3"/>
        <w:widowControl w:val="0"/>
        <w:keepNext w:val="0"/>
        <w:keepLines w:val="0"/>
        <w:shd w:val="clear" w:color="auto" w:fill="auto"/>
        <w:bidi w:val="0"/>
        <w:jc w:val="left"/>
        <w:spacing w:before="0" w:after="0" w:line="292"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9"/>
        <w:widowControl w:val="0"/>
        <w:keepNext w:val="0"/>
        <w:keepLines w:val="0"/>
        <w:shd w:val="clear" w:color="auto" w:fill="auto"/>
        <w:bidi w:val="0"/>
        <w:jc w:val="left"/>
        <w:spacing w:before="0" w:after="0" w:line="292" w:lineRule="exact"/>
        <w:ind w:left="20" w:right="40" w:firstLine="0"/>
        <w:sectPr>
          <w:footnotePr>
            <w:pos w:val="pageBottom"/>
            <w:numFmt w:val="decimal"/>
            <w:numRestart w:val="continuous"/>
          </w:footnotePr>
          <w:type w:val="continuous"/>
          <w:pgSz w:w="11906" w:h="16838"/>
          <w:pgMar w:top="1494" w:left="1288" w:right="1806" w:bottom="1494" w:header="0" w:footer="3" w:gutter="0"/>
          <w:rtlGutter w:val="0"/>
          <w:cols w:num="2" w:space="562"/>
          <w:noEndnote/>
          <w:docGrid w:linePitch="360"/>
        </w:sectPr>
      </w:pPr>
      <w:r>
        <w:rPr>
          <w:lang w:val="ru-RU" w:eastAsia="ru-RU" w:bidi="ru-RU"/>
          <w:sz w:val="24"/>
          <w:szCs w:val="24"/>
          <w:w w:val="100"/>
          <w:spacing w:val="0"/>
          <w:color w:val="000000"/>
          <w:position w:val="0"/>
        </w:rPr>
        <w:t xml:space="preserve">ЗАО «Сбербанк-АСТ»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line="240" w:lineRule="exact"/>
        <w:rPr>
          <w:sz w:val="19"/>
          <w:szCs w:val="19"/>
        </w:rPr>
      </w:pPr>
    </w:p>
    <w:p>
      <w:pPr>
        <w:widowControl w:val="0"/>
        <w:spacing w:before="54" w:after="5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4" w:line="240" w:lineRule="exact"/>
        <w:ind w:left="0" w:right="0" w:firstLine="0"/>
      </w:pPr>
      <w:r>
        <w:rPr>
          <w:lang w:val="ru-RU" w:eastAsia="ru-RU" w:bidi="ru-RU"/>
          <w:sz w:val="24"/>
          <w:szCs w:val="24"/>
          <w:w w:val="100"/>
          <w:spacing w:val="0"/>
          <w:color w:val="000000"/>
          <w:position w:val="0"/>
        </w:rPr>
        <w:t>РЕШЕНИЕ</w:t>
      </w:r>
    </w:p>
    <w:p>
      <w:pPr>
        <w:pStyle w:val="Style9"/>
        <w:widowControl w:val="0"/>
        <w:keepNext w:val="0"/>
        <w:keepLines w:val="0"/>
        <w:shd w:val="clear" w:color="auto" w:fill="auto"/>
        <w:bidi w:val="0"/>
        <w:jc w:val="center"/>
        <w:spacing w:before="0" w:after="304" w:line="240" w:lineRule="exact"/>
        <w:ind w:left="0" w:right="0" w:firstLine="0"/>
      </w:pPr>
      <w:r>
        <w:rPr>
          <w:lang w:val="ru-RU" w:eastAsia="ru-RU" w:bidi="ru-RU"/>
          <w:sz w:val="24"/>
          <w:szCs w:val="24"/>
          <w:w w:val="100"/>
          <w:spacing w:val="0"/>
          <w:color w:val="000000"/>
          <w:position w:val="0"/>
        </w:rPr>
        <w:t>по делу № 041/06/69-497/2021</w:t>
      </w:r>
    </w:p>
    <w:p>
      <w:pPr>
        <w:pStyle w:val="Style9"/>
        <w:tabs>
          <w:tab w:leader="none" w:pos="5791" w:val="left"/>
        </w:tabs>
        <w:widowControl w:val="0"/>
        <w:keepNext w:val="0"/>
        <w:keepLines w:val="0"/>
        <w:shd w:val="clear" w:color="auto" w:fill="auto"/>
        <w:bidi w:val="0"/>
        <w:spacing w:before="0" w:after="271" w:line="240" w:lineRule="exact"/>
        <w:ind w:left="20" w:right="0" w:firstLine="0"/>
      </w:pPr>
      <w:r>
        <w:rPr>
          <w:lang w:val="ru-RU" w:eastAsia="ru-RU" w:bidi="ru-RU"/>
          <w:sz w:val="24"/>
          <w:szCs w:val="24"/>
          <w:w w:val="100"/>
          <w:spacing w:val="0"/>
          <w:color w:val="000000"/>
          <w:position w:val="0"/>
        </w:rPr>
        <w:t>21 октября 2021 г.</w:t>
        <w:tab/>
        <w:t>г. Петропавловск-Камчатский</w:t>
      </w:r>
    </w:p>
    <w:p>
      <w:pPr>
        <w:pStyle w:val="Style9"/>
        <w:widowControl w:val="0"/>
        <w:keepNext w:val="0"/>
        <w:keepLines w:val="0"/>
        <w:shd w:val="clear" w:color="auto" w:fill="auto"/>
        <w:bidi w:val="0"/>
        <w:spacing w:before="0" w:after="0" w:line="281" w:lineRule="exact"/>
        <w:ind w:left="20" w:right="20" w:firstLine="820"/>
      </w:pPr>
      <w:r>
        <w:rPr>
          <w:lang w:val="ru-RU" w:eastAsia="ru-RU" w:bidi="ru-RU"/>
          <w:sz w:val="24"/>
          <w:szCs w:val="24"/>
          <w:w w:val="100"/>
          <w:spacing w:val="0"/>
          <w:color w:val="000000"/>
          <w:position w:val="0"/>
        </w:rPr>
        <w:t>Комиссия Управления Федеральной антимонопольной службы по Камчатскому краю (далее - Камчатское УФАС России) по контролю в сфере закупок (далее - Комиссия) в составе:</w:t>
      </w:r>
    </w:p>
    <w:p>
      <w:pPr>
        <w:pStyle w:val="Style9"/>
        <w:widowControl w:val="0"/>
        <w:keepNext w:val="0"/>
        <w:keepLines w:val="0"/>
        <w:shd w:val="clear" w:color="auto" w:fill="auto"/>
        <w:bidi w:val="0"/>
        <w:jc w:val="left"/>
        <w:spacing w:before="0" w:after="0" w:line="281" w:lineRule="exact"/>
        <w:ind w:left="20" w:right="1920" w:firstLine="0"/>
      </w:pPr>
      <w:r>
        <w:rPr>
          <w:lang w:val="ru-RU" w:eastAsia="ru-RU" w:bidi="ru-RU"/>
          <w:sz w:val="24"/>
          <w:szCs w:val="24"/>
          <w:w w:val="100"/>
          <w:spacing w:val="0"/>
          <w:color w:val="000000"/>
          <w:position w:val="0"/>
        </w:rPr>
        <w:t>председателя Комиссии - руководителя управления Старкова Г.Л., членов Комиссии:</w:t>
      </w:r>
    </w:p>
    <w:p>
      <w:pPr>
        <w:pStyle w:val="Style9"/>
        <w:numPr>
          <w:ilvl w:val="0"/>
          <w:numId w:val="1"/>
        </w:numPr>
        <w:widowControl w:val="0"/>
        <w:keepNext w:val="0"/>
        <w:keepLines w:val="0"/>
        <w:shd w:val="clear" w:color="auto" w:fill="auto"/>
        <w:bidi w:val="0"/>
        <w:spacing w:before="0" w:after="0" w:line="281" w:lineRule="exact"/>
        <w:ind w:left="20" w:right="0" w:firstLine="0"/>
      </w:pPr>
      <w:r>
        <w:rPr>
          <w:lang w:val="ru-RU" w:eastAsia="ru-RU" w:bidi="ru-RU"/>
          <w:sz w:val="24"/>
          <w:szCs w:val="24"/>
          <w:w w:val="100"/>
          <w:spacing w:val="0"/>
          <w:color w:val="000000"/>
          <w:position w:val="0"/>
        </w:rPr>
        <w:t xml:space="preserve"> начальника отдела антимонопольного контроля и закупок Парфирьевой С. Н.,</w:t>
      </w:r>
    </w:p>
    <w:p>
      <w:pPr>
        <w:pStyle w:val="Style9"/>
        <w:numPr>
          <w:ilvl w:val="0"/>
          <w:numId w:val="1"/>
        </w:numPr>
        <w:widowControl w:val="0"/>
        <w:keepNext w:val="0"/>
        <w:keepLines w:val="0"/>
        <w:shd w:val="clear" w:color="auto" w:fill="auto"/>
        <w:bidi w:val="0"/>
        <w:spacing w:before="0" w:after="0" w:line="281" w:lineRule="exact"/>
        <w:ind w:left="20" w:right="20" w:firstLine="0"/>
      </w:pPr>
      <w:r>
        <w:rPr>
          <w:lang w:val="ru-RU" w:eastAsia="ru-RU" w:bidi="ru-RU"/>
          <w:sz w:val="24"/>
          <w:szCs w:val="24"/>
          <w:w w:val="100"/>
          <w:spacing w:val="0"/>
          <w:color w:val="000000"/>
          <w:position w:val="0"/>
        </w:rPr>
        <w:t xml:space="preserve"> главного государственного инспектора отдела антимонопольного контроля и закупок Шихановой Л.Б.,</w:t>
      </w:r>
    </w:p>
    <w:p>
      <w:pPr>
        <w:pStyle w:val="Style9"/>
        <w:widowControl w:val="0"/>
        <w:keepNext w:val="0"/>
        <w:keepLines w:val="0"/>
        <w:shd w:val="clear" w:color="auto" w:fill="auto"/>
        <w:bidi w:val="0"/>
        <w:spacing w:before="0" w:after="0" w:line="281" w:lineRule="exact"/>
        <w:ind w:left="20" w:right="0" w:firstLine="0"/>
      </w:pPr>
      <w:r>
        <w:rPr>
          <w:lang w:val="ru-RU" w:eastAsia="ru-RU" w:bidi="ru-RU"/>
          <w:sz w:val="24"/>
          <w:szCs w:val="24"/>
          <w:w w:val="100"/>
          <w:spacing w:val="0"/>
          <w:color w:val="000000"/>
          <w:position w:val="0"/>
        </w:rPr>
        <w:t>в отсутствие:</w:t>
      </w:r>
    </w:p>
    <w:p>
      <w:pPr>
        <w:pStyle w:val="Style9"/>
        <w:numPr>
          <w:ilvl w:val="0"/>
          <w:numId w:val="1"/>
        </w:numPr>
        <w:widowControl w:val="0"/>
        <w:keepNext w:val="0"/>
        <w:keepLines w:val="0"/>
        <w:shd w:val="clear" w:color="auto" w:fill="auto"/>
        <w:bidi w:val="0"/>
        <w:spacing w:before="0" w:after="0" w:line="281" w:lineRule="exact"/>
        <w:ind w:left="20" w:right="20" w:firstLine="0"/>
      </w:pPr>
      <w:r>
        <w:rPr>
          <w:lang w:val="ru-RU" w:eastAsia="ru-RU" w:bidi="ru-RU"/>
          <w:sz w:val="24"/>
          <w:szCs w:val="24"/>
          <w:w w:val="100"/>
          <w:spacing w:val="0"/>
          <w:color w:val="000000"/>
          <w:position w:val="0"/>
        </w:rPr>
        <w:t xml:space="preserve"> заказчика - государственного бюджетного учреждения здравоохранения «Камчатская краевая больница им. А.С. Лукашевского» (далее - Заказчик), направившего ходатайство о рассмотрении жалобы в свое отсутствие,</w:t>
      </w:r>
    </w:p>
    <w:p>
      <w:pPr>
        <w:pStyle w:val="Style9"/>
        <w:numPr>
          <w:ilvl w:val="0"/>
          <w:numId w:val="1"/>
        </w:numPr>
        <w:widowControl w:val="0"/>
        <w:keepNext w:val="0"/>
        <w:keepLines w:val="0"/>
        <w:shd w:val="clear" w:color="auto" w:fill="auto"/>
        <w:bidi w:val="0"/>
        <w:spacing w:before="0" w:after="0" w:line="281" w:lineRule="exact"/>
        <w:ind w:left="20" w:right="20" w:firstLine="0"/>
      </w:pPr>
      <w:r>
        <w:rPr>
          <w:lang w:val="ru-RU" w:eastAsia="ru-RU" w:bidi="ru-RU"/>
          <w:sz w:val="24"/>
          <w:szCs w:val="24"/>
          <w:w w:val="100"/>
          <w:spacing w:val="0"/>
          <w:color w:val="000000"/>
          <w:position w:val="0"/>
        </w:rPr>
        <w:t xml:space="preserve"> заявителя - общества с ограниченной ответственностью «Сибспецстройпроект» (далее - Заявитель), уведомленного о месте и времени рассмотрения жалобы по адресу электронной почты,</w:t>
      </w:r>
    </w:p>
    <w:p>
      <w:pPr>
        <w:pStyle w:val="Style9"/>
        <w:widowControl w:val="0"/>
        <w:keepNext w:val="0"/>
        <w:keepLines w:val="0"/>
        <w:shd w:val="clear" w:color="auto" w:fill="auto"/>
        <w:bidi w:val="0"/>
        <w:spacing w:before="0" w:after="0" w:line="281" w:lineRule="exact"/>
        <w:ind w:left="20" w:right="20" w:firstLine="0"/>
      </w:pPr>
      <w:r>
        <w:rPr>
          <w:lang w:val="ru-RU" w:eastAsia="ru-RU" w:bidi="ru-RU"/>
          <w:sz w:val="24"/>
          <w:szCs w:val="24"/>
          <w:w w:val="100"/>
          <w:spacing w:val="0"/>
          <w:color w:val="000000"/>
          <w:position w:val="0"/>
        </w:rPr>
        <w:t>рассмотрев жалобу Заявителя на действия аукционной комиссии Заказчика при определении поставщика путем электронного аукциона (далее - ЭА) на поставку фильтров для облучателей-рециркуляторов бактерицидных (далее - Товар) (закупка № 0338200009821000250),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w:t>
      </w:r>
    </w:p>
    <w:p>
      <w:pPr>
        <w:pStyle w:val="Style3"/>
        <w:widowControl w:val="0"/>
        <w:keepNext w:val="0"/>
        <w:keepLines w:val="0"/>
        <w:shd w:val="clear" w:color="auto" w:fill="auto"/>
        <w:bidi w:val="0"/>
        <w:spacing w:before="0" w:after="256" w:line="240" w:lineRule="exact"/>
        <w:ind w:left="340" w:right="0" w:firstLine="0"/>
      </w:pPr>
      <w:r>
        <w:rPr>
          <w:lang w:val="ru-RU" w:eastAsia="ru-RU" w:bidi="ru-RU"/>
          <w:sz w:val="24"/>
          <w:szCs w:val="24"/>
          <w:w w:val="100"/>
          <w:spacing w:val="0"/>
          <w:color w:val="000000"/>
          <w:position w:val="0"/>
        </w:rPr>
        <w:t>УСТАНОВИЛА:</w:t>
      </w:r>
    </w:p>
    <w:p>
      <w:pPr>
        <w:pStyle w:val="Style9"/>
        <w:widowControl w:val="0"/>
        <w:keepNext w:val="0"/>
        <w:keepLines w:val="0"/>
        <w:shd w:val="clear" w:color="auto" w:fill="auto"/>
        <w:bidi w:val="0"/>
        <w:spacing w:before="0" w:after="0" w:line="295" w:lineRule="exact"/>
        <w:ind w:left="20" w:right="20" w:firstLine="860"/>
      </w:pPr>
      <w:r>
        <w:rPr>
          <w:lang w:val="ru-RU" w:eastAsia="ru-RU" w:bidi="ru-RU"/>
          <w:sz w:val="24"/>
          <w:szCs w:val="24"/>
          <w:w w:val="100"/>
          <w:spacing w:val="0"/>
          <w:color w:val="000000"/>
          <w:position w:val="0"/>
        </w:rPr>
        <w:t>Заказчиком проводилась процедура определения поставщика путем проведения ЭА на поставку Товара (закупка № 0338200009821000250) (далее - Закупка). Извещение, документация о Закупке (с изменениями) размещены в единой информационной системе 30.08.2021. Начальная (максимальная) цена контракта (далее - НМЦК) установлена в размере 225 834,56 рублей.</w:t>
      </w:r>
    </w:p>
    <w:p>
      <w:pPr>
        <w:pStyle w:val="Style9"/>
        <w:widowControl w:val="0"/>
        <w:keepNext w:val="0"/>
        <w:keepLines w:val="0"/>
        <w:shd w:val="clear" w:color="auto" w:fill="auto"/>
        <w:bidi w:val="0"/>
        <w:spacing w:before="0" w:after="537" w:line="295" w:lineRule="exact"/>
        <w:ind w:left="20" w:right="20" w:firstLine="700"/>
      </w:pPr>
      <w:r>
        <w:rPr>
          <w:lang w:val="ru-RU" w:eastAsia="ru-RU" w:bidi="ru-RU"/>
          <w:sz w:val="24"/>
          <w:szCs w:val="24"/>
          <w:w w:val="100"/>
          <w:spacing w:val="0"/>
          <w:color w:val="000000"/>
          <w:position w:val="0"/>
        </w:rPr>
        <w:t>Согласно протоколу подведения итогов ЭА от 14.10.2021 в ЭА приняли участие четыре участника. Заявка Заявителя, признана не соответствующей требованиям Закона о контрактной системе и документации о Закупке в соответствии с пунктом 1 части 6 статьи 69 Закона о контрактной системе, а именно не представлены документы и информация, предусмотренные частью 5 статьи 66 Закона о контрактной системе: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ЭА - копии регистрационных удостоверений, сертификат соответствия или декларация соответствия.</w:t>
      </w:r>
    </w:p>
    <w:p>
      <w:pPr>
        <w:pStyle w:val="Style9"/>
        <w:widowControl w:val="0"/>
        <w:keepNext w:val="0"/>
        <w:keepLines w:val="0"/>
        <w:shd w:val="clear" w:color="auto" w:fill="auto"/>
        <w:bidi w:val="0"/>
        <w:spacing w:before="0" w:after="234" w:line="299" w:lineRule="exact"/>
        <w:ind w:left="20" w:right="20" w:firstLine="860"/>
      </w:pPr>
      <w:r>
        <w:rPr>
          <w:lang w:val="ru-RU" w:eastAsia="ru-RU" w:bidi="ru-RU"/>
          <w:sz w:val="24"/>
          <w:szCs w:val="24"/>
          <w:w w:val="100"/>
          <w:spacing w:val="0"/>
          <w:color w:val="000000"/>
          <w:position w:val="0"/>
        </w:rPr>
        <w:t>15.10.2021 в Камчатское У ФАС России поступила жалоба Заявителя на действия аукционной комиссии Заказчика, которая, по мнению Заявителя, необоснованно признала его заявку не соответствующей требованиям Закона о контрактной системе и документации о Закупке.</w:t>
      </w:r>
    </w:p>
    <w:p>
      <w:pPr>
        <w:pStyle w:val="Style9"/>
        <w:widowControl w:val="0"/>
        <w:keepNext w:val="0"/>
        <w:keepLines w:val="0"/>
        <w:shd w:val="clear" w:color="auto" w:fill="auto"/>
        <w:bidi w:val="0"/>
        <w:spacing w:before="0" w:after="246" w:line="306" w:lineRule="exact"/>
        <w:ind w:left="20" w:right="20" w:firstLine="860"/>
      </w:pPr>
      <w:r>
        <w:rPr>
          <w:lang w:val="ru-RU" w:eastAsia="ru-RU" w:bidi="ru-RU"/>
          <w:sz w:val="24"/>
          <w:szCs w:val="24"/>
          <w:w w:val="100"/>
          <w:spacing w:val="0"/>
          <w:color w:val="000000"/>
          <w:position w:val="0"/>
        </w:rPr>
        <w:t>Заказчик с доводом жалобы не согласился, в письме 20.10.2021 № 2030 представил возражения на довод жалобы,</w:t>
      </w:r>
    </w:p>
    <w:p>
      <w:pPr>
        <w:pStyle w:val="Style9"/>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9"/>
        <w:numPr>
          <w:ilvl w:val="0"/>
          <w:numId w:val="3"/>
        </w:numPr>
        <w:tabs>
          <w:tab w:leader="none" w:pos="1186" w:val="left"/>
        </w:tabs>
        <w:widowControl w:val="0"/>
        <w:keepNext w:val="0"/>
        <w:keepLines w:val="0"/>
        <w:shd w:val="clear" w:color="auto" w:fill="auto"/>
        <w:bidi w:val="0"/>
        <w:spacing w:before="0" w:after="0" w:line="295" w:lineRule="exact"/>
        <w:ind w:left="20" w:right="20" w:firstLine="860"/>
      </w:pPr>
      <w:r>
        <w:rPr>
          <w:lang w:val="ru-RU" w:eastAsia="ru-RU" w:bidi="ru-RU"/>
          <w:sz w:val="24"/>
          <w:szCs w:val="24"/>
          <w:w w:val="100"/>
          <w:spacing w:val="0"/>
          <w:color w:val="000000"/>
          <w:position w:val="0"/>
        </w:rPr>
        <w:t>На основании пункта 2 части 1 статьи 64 Закона о контрактной системе документация об ЭА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данного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9"/>
        <w:tabs>
          <w:tab w:leader="none" w:pos="1720" w:val="left"/>
          <w:tab w:leader="none" w:pos="3911" w:val="left"/>
          <w:tab w:leader="none" w:pos="5708" w:val="lef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соответствии с пунктом 3 части 5 статьи 66 Закона о контрактной системе вторая часть</w:t>
        <w:tab/>
        <w:t>заявки на участие</w:t>
        <w:tab/>
        <w:t>в ЭА должна</w:t>
        <w:tab/>
        <w:t>содержать, в том числе копии</w:t>
      </w:r>
    </w:p>
    <w:p>
      <w:pPr>
        <w:pStyle w:val="Style9"/>
        <w:tabs>
          <w:tab w:leader="none" w:pos="1720" w:val="left"/>
          <w:tab w:leader="none" w:pos="3841" w:val="left"/>
          <w:tab w:leader="none" w:pos="5705" w:val="lef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документов,</w:t>
        <w:tab/>
        <w:t>подтверждающих</w:t>
        <w:tab/>
        <w:t>соответствие</w:t>
        <w:tab/>
        <w:t>товара, работы или услуги</w:t>
      </w:r>
    </w:p>
    <w:p>
      <w:pPr>
        <w:pStyle w:val="Style9"/>
        <w:tabs>
          <w:tab w:leader="none" w:pos="1720" w:val="left"/>
          <w:tab w:leader="none" w:pos="3841" w:val="left"/>
          <w:tab w:leader="none" w:pos="5641" w:val="right"/>
          <w:tab w:leader="none" w:pos="5787" w:val="lef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требованиям,</w:t>
        <w:tab/>
        <w:t>установленным в</w:t>
        <w:tab/>
        <w:t>соответствии</w:t>
        <w:tab/>
        <w:t>с</w:t>
        <w:tab/>
        <w:t>законодательством Российской</w:t>
      </w:r>
    </w:p>
    <w:p>
      <w:pPr>
        <w:pStyle w:val="Style9"/>
        <w:tabs>
          <w:tab w:leader="none" w:pos="3841" w:val="left"/>
          <w:tab w:leader="none" w:pos="5641" w:val="right"/>
          <w:tab w:leader="none" w:pos="5783" w:val="lef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Федерации, в случае, если в</w:t>
        <w:tab/>
        <w:t>соответствии</w:t>
        <w:tab/>
        <w:t>с</w:t>
        <w:tab/>
        <w:t>законодательством Российской</w:t>
      </w:r>
    </w:p>
    <w:p>
      <w:pPr>
        <w:pStyle w:val="Style9"/>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Федерации установлены требования к товару, работе или услуге и представление указанных документов предусмотрено документацией об ЭА.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силу части 6 статьи 66 Закона о контрактной системе требовать от участника ЭА предоставления иных документов и информации, за исключением предусмотренных частями 3 или 3.1 и 5 данной статьи документов и информации, не допускается.</w:t>
      </w:r>
    </w:p>
    <w:p>
      <w:pPr>
        <w:pStyle w:val="Style9"/>
        <w:widowControl w:val="0"/>
        <w:keepNext w:val="0"/>
        <w:keepLines w:val="0"/>
        <w:shd w:val="clear" w:color="auto" w:fill="auto"/>
        <w:bidi w:val="0"/>
        <w:spacing w:before="0" w:after="0" w:line="295" w:lineRule="exact"/>
        <w:ind w:left="20" w:right="20" w:firstLine="720"/>
      </w:pPr>
      <w:r>
        <w:rPr>
          <w:lang w:val="ru-RU" w:eastAsia="ru-RU" w:bidi="ru-RU"/>
          <w:sz w:val="24"/>
          <w:szCs w:val="24"/>
          <w:w w:val="100"/>
          <w:spacing w:val="0"/>
          <w:color w:val="000000"/>
          <w:position w:val="0"/>
        </w:rPr>
        <w:t>Согласно части 6 статьи 69 Закона о контрактной системе заявка на участие в ЭА признается не соответствующей требованиям, установленным документацией о таком аукционе, в случае:</w:t>
      </w:r>
    </w:p>
    <w:p>
      <w:pPr>
        <w:pStyle w:val="Style9"/>
        <w:numPr>
          <w:ilvl w:val="0"/>
          <w:numId w:val="5"/>
        </w:numPr>
        <w:widowControl w:val="0"/>
        <w:keepNext w:val="0"/>
        <w:keepLines w:val="0"/>
        <w:shd w:val="clear" w:color="auto" w:fill="auto"/>
        <w:bidi w:val="0"/>
        <w:spacing w:before="0" w:after="0" w:line="295" w:lineRule="exact"/>
        <w:ind w:left="20" w:right="20" w:firstLine="720"/>
      </w:pPr>
      <w:r>
        <w:rPr>
          <w:lang w:val="ru-RU" w:eastAsia="ru-RU" w:bidi="ru-RU"/>
          <w:sz w:val="24"/>
          <w:szCs w:val="24"/>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данного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9"/>
        <w:numPr>
          <w:ilvl w:val="0"/>
          <w:numId w:val="5"/>
        </w:numPr>
        <w:widowControl w:val="0"/>
        <w:keepNext w:val="0"/>
        <w:keepLines w:val="0"/>
        <w:shd w:val="clear" w:color="auto" w:fill="auto"/>
        <w:bidi w:val="0"/>
        <w:spacing w:before="0" w:after="0" w:line="295" w:lineRule="exact"/>
        <w:ind w:left="20" w:right="20" w:firstLine="72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данного Федерального закона;</w:t>
      </w:r>
    </w:p>
    <w:p>
      <w:pPr>
        <w:pStyle w:val="Style9"/>
        <w:numPr>
          <w:ilvl w:val="0"/>
          <w:numId w:val="5"/>
        </w:numPr>
        <w:widowControl w:val="0"/>
        <w:keepNext w:val="0"/>
        <w:keepLines w:val="0"/>
        <w:shd w:val="clear" w:color="auto" w:fill="auto"/>
        <w:bidi w:val="0"/>
        <w:spacing w:before="0" w:after="240" w:line="295" w:lineRule="exact"/>
        <w:ind w:left="20" w:right="20" w:firstLine="720"/>
      </w:pPr>
      <w:r>
        <w:rPr>
          <w:lang w:val="ru-RU" w:eastAsia="ru-RU" w:bidi="ru-RU"/>
          <w:sz w:val="24"/>
          <w:szCs w:val="24"/>
          <w:w w:val="100"/>
          <w:spacing w:val="0"/>
          <w:color w:val="000000"/>
          <w:position w:val="0"/>
        </w:rPr>
        <w:t xml:space="preserve"> предусмотренном нормативными правовыми актами, принятыми в соответствии со статьей 14 данного Федерального закона.</w:t>
      </w:r>
    </w:p>
    <w:p>
      <w:pPr>
        <w:pStyle w:val="Style9"/>
        <w:tabs>
          <w:tab w:leader="none" w:pos="7436" w:val="left"/>
          <w:tab w:leader="none" w:pos="9351" w:val="right"/>
        </w:tabs>
        <w:widowControl w:val="0"/>
        <w:keepNext w:val="0"/>
        <w:keepLines w:val="0"/>
        <w:shd w:val="clear" w:color="auto" w:fill="auto"/>
        <w:bidi w:val="0"/>
        <w:spacing w:before="0" w:after="0" w:line="295" w:lineRule="exact"/>
        <w:ind w:left="20" w:right="20" w:firstLine="720"/>
      </w:pPr>
      <w:r>
        <w:rPr>
          <w:lang w:val="ru-RU" w:eastAsia="ru-RU" w:bidi="ru-RU"/>
          <w:sz w:val="24"/>
          <w:szCs w:val="24"/>
          <w:w w:val="100"/>
          <w:spacing w:val="0"/>
          <w:color w:val="000000"/>
          <w:position w:val="0"/>
        </w:rPr>
        <w:t>Согласно частям 1, 4 статьи 38 Федерального закона от 21.11.2011 № 323-ФЗ «Об основах охраны здоровья граждан в Российской Федерации» (далее - Закон № 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w:t>
        <w:tab/>
        <w:t>обеспечение,</w:t>
        <w:tab/>
        <w:t>и</w:t>
      </w:r>
    </w:p>
    <w:p>
      <w:pPr>
        <w:pStyle w:val="Style9"/>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9"/>
        <w:widowControl w:val="0"/>
        <w:keepNext w:val="0"/>
        <w:keepLines w:val="0"/>
        <w:shd w:val="clear" w:color="auto" w:fill="auto"/>
        <w:bidi w:val="0"/>
        <w:spacing w:before="0" w:after="0" w:line="295" w:lineRule="exact"/>
        <w:ind w:left="20" w:right="20" w:firstLine="720"/>
      </w:pPr>
      <w:r>
        <w:rPr>
          <w:lang w:val="ru-RU" w:eastAsia="ru-RU" w:bidi="ru-RU"/>
          <w:sz w:val="24"/>
          <w:szCs w:val="24"/>
          <w:w w:val="100"/>
          <w:spacing w:val="0"/>
          <w:color w:val="000000"/>
          <w:position w:val="0"/>
        </w:rPr>
        <w:t>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9"/>
        <w:tabs>
          <w:tab w:leader="none" w:pos="6565" w:val="left"/>
          <w:tab w:leader="none" w:pos="7116" w:val="left"/>
        </w:tabs>
        <w:widowControl w:val="0"/>
        <w:keepNext w:val="0"/>
        <w:keepLines w:val="0"/>
        <w:shd w:val="clear" w:color="auto" w:fill="auto"/>
        <w:bidi w:val="0"/>
        <w:spacing w:before="0" w:after="0" w:line="295" w:lineRule="exact"/>
        <w:ind w:left="20" w:right="20" w:firstLine="720"/>
      </w:pPr>
      <w:r>
        <w:rPr>
          <w:lang w:val="ru-RU" w:eastAsia="ru-RU" w:bidi="ru-RU"/>
          <w:sz w:val="24"/>
          <w:szCs w:val="24"/>
          <w:w w:val="100"/>
          <w:spacing w:val="0"/>
          <w:color w:val="000000"/>
          <w:position w:val="0"/>
        </w:rPr>
        <w:t>В силу пункта 6 Правил регистрации медицинских изделий, утвержденных постановлением Правительства РФ от 27.12.2012</w:t>
        <w:tab/>
        <w:t>№</w:t>
        <w:tab/>
        <w:t>1416, документом,</w:t>
      </w:r>
    </w:p>
    <w:p>
      <w:pPr>
        <w:pStyle w:val="Style9"/>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pPr>
        <w:pStyle w:val="Style9"/>
        <w:widowControl w:val="0"/>
        <w:keepNext w:val="0"/>
        <w:keepLines w:val="0"/>
        <w:shd w:val="clear" w:color="auto" w:fill="auto"/>
        <w:bidi w:val="0"/>
        <w:spacing w:before="0" w:after="0" w:line="295" w:lineRule="exact"/>
        <w:ind w:left="20" w:right="20" w:firstLine="720"/>
      </w:pPr>
      <w:r>
        <w:rPr>
          <w:lang w:val="ru-RU" w:eastAsia="ru-RU" w:bidi="ru-RU"/>
          <w:sz w:val="24"/>
          <w:szCs w:val="24"/>
          <w:w w:val="100"/>
          <w:spacing w:val="0"/>
          <w:color w:val="000000"/>
          <w:position w:val="0"/>
        </w:rPr>
        <w:t>В силу статьи 2 Федерального закона от 27.12.20002 № 184-ФЗ «О техническом регулировании»:</w:t>
      </w:r>
    </w:p>
    <w:p>
      <w:pPr>
        <w:pStyle w:val="Style9"/>
        <w:numPr>
          <w:ilvl w:val="0"/>
          <w:numId w:val="1"/>
        </w:numPr>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 xml:space="preserve"> декларация о соответствии - это документ, удостоверяющий соответствие выпускаемой в обращение продукции требованиям технических регламентов;</w:t>
      </w:r>
    </w:p>
    <w:p>
      <w:pPr>
        <w:pStyle w:val="Style9"/>
        <w:numPr>
          <w:ilvl w:val="0"/>
          <w:numId w:val="1"/>
        </w:numPr>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 xml:space="preserve"> сертификат соответствия - это документ, удостоверяющий соответствие объекта требованиям технических регламентов, документам по стандартизации или условиям договоров;</w:t>
      </w:r>
    </w:p>
    <w:p>
      <w:pPr>
        <w:pStyle w:val="Style9"/>
        <w:widowControl w:val="0"/>
        <w:keepNext w:val="0"/>
        <w:keepLines w:val="0"/>
        <w:shd w:val="clear" w:color="auto" w:fill="auto"/>
        <w:bidi w:val="0"/>
        <w:spacing w:before="0" w:after="237" w:line="292" w:lineRule="exact"/>
        <w:ind w:left="20" w:right="20" w:firstLine="0"/>
      </w:pPr>
      <w:r>
        <w:rPr>
          <w:lang w:val="ru-RU" w:eastAsia="ru-RU" w:bidi="ru-RU"/>
          <w:sz w:val="24"/>
          <w:szCs w:val="24"/>
          <w:w w:val="100"/>
          <w:spacing w:val="0"/>
          <w:color w:val="000000"/>
          <w:position w:val="0"/>
        </w:rPr>
        <w:t>- сертификация - это форма осуществляемого органом по сертификации подтверждения соответствия объектов требованиям технических регламентов, документам по стандартизации или условиям договоров.</w:t>
      </w:r>
    </w:p>
    <w:p>
      <w:pPr>
        <w:pStyle w:val="Style9"/>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Согласно пункту 2 части 4.2 документации о Закупке вторая часть заявки на участие в ЭА должна содержать, в том числе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ЭА - копии регистрационных удостоверений, сертификат соответствия или декларация соответствия.</w:t>
      </w:r>
    </w:p>
    <w:p>
      <w:pPr>
        <w:pStyle w:val="Style9"/>
        <w:widowControl w:val="0"/>
        <w:keepNext w:val="0"/>
        <w:keepLines w:val="0"/>
        <w:shd w:val="clear" w:color="auto" w:fill="auto"/>
        <w:bidi w:val="0"/>
        <w:spacing w:before="0" w:after="0" w:line="240" w:lineRule="exact"/>
        <w:ind w:left="20" w:right="0" w:firstLine="700"/>
      </w:pPr>
      <w:r>
        <w:rPr>
          <w:lang w:val="ru-RU" w:eastAsia="ru-RU" w:bidi="ru-RU"/>
          <w:sz w:val="24"/>
          <w:szCs w:val="24"/>
          <w:w w:val="100"/>
          <w:spacing w:val="0"/>
          <w:color w:val="000000"/>
          <w:position w:val="0"/>
        </w:rPr>
        <w:t>Вторая часть заявки Заявителя данных документов не содержит.</w:t>
      </w:r>
    </w:p>
    <w:p>
      <w:pPr>
        <w:pStyle w:val="Style9"/>
        <w:widowControl w:val="0"/>
        <w:keepNext w:val="0"/>
        <w:keepLines w:val="0"/>
        <w:shd w:val="clear" w:color="auto" w:fill="auto"/>
        <w:bidi w:val="0"/>
        <w:spacing w:before="0" w:after="237" w:line="299" w:lineRule="exact"/>
        <w:ind w:left="20" w:right="20" w:firstLine="700"/>
      </w:pPr>
      <w:r>
        <w:rPr>
          <w:lang w:val="ru-RU" w:eastAsia="ru-RU" w:bidi="ru-RU"/>
          <w:sz w:val="24"/>
          <w:szCs w:val="24"/>
          <w:w w:val="100"/>
          <w:spacing w:val="0"/>
          <w:color w:val="000000"/>
          <w:position w:val="0"/>
        </w:rPr>
        <w:t>Следовательно, у аукционной комиссии Заказчика отсутствовали правовые основания для признания второй части заявки Заявителя соответствующей требованиям документации о Закупке.</w:t>
      </w:r>
    </w:p>
    <w:p>
      <w:pPr>
        <w:pStyle w:val="Style9"/>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Комиссия изучив документацию о Закупке, вторые части заявок участников Закупки установила следующее.</w:t>
      </w:r>
    </w:p>
    <w:p>
      <w:pPr>
        <w:pStyle w:val="Style9"/>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Согласно письму Росздравнадзора от 20.03.2014 № 04-5146/14 «фильтры воздушные сменные для медицинских приборов - ультрафиолетовых бактерицидных облучателей- рециркуляторов с функцией фильтрации входного воздушного потока являются комплектующими изделиями и не подлежат регистрации в Росздравнадзоре».</w:t>
      </w:r>
    </w:p>
    <w:p>
      <w:pPr>
        <w:pStyle w:val="Style9"/>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То есть, Товар, являющийся предметом Закупки, не является медицинским изделием.</w:t>
      </w:r>
    </w:p>
    <w:p>
      <w:pPr>
        <w:pStyle w:val="Style9"/>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Товар в реестре медицинских изделий, размещенном на официальном сайте Росздравнадзора отсутствует.</w:t>
      </w:r>
    </w:p>
    <w:p>
      <w:pPr>
        <w:pStyle w:val="Style9"/>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Технические регламенты, документы по стандартизаций, обязывающие производителей данных фильтров осуществлять обязательную сертификацию Товара, не установлены. Заказчик доказательств обратного не представил.</w:t>
      </w:r>
    </w:p>
    <w:p>
      <w:pPr>
        <w:pStyle w:val="Style9"/>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Таким образом, Заказчик, потребовав от участников Закупки предоставить в составе второй части заявки копии регистрационных удостоверений, сертификат соответствия или декларацию соответствия на Товар, не предусмотренных законодательством Российской Федерации, </w:t>
      </w:r>
      <w:r>
        <w:rPr>
          <w:rStyle w:val="CharStyle11"/>
        </w:rPr>
        <w:t>нарушил часть 6 статьи 66 Закона о контрактной системе.</w:t>
      </w:r>
    </w:p>
    <w:p>
      <w:pPr>
        <w:pStyle w:val="Style9"/>
        <w:widowControl w:val="0"/>
        <w:keepNext w:val="0"/>
        <w:keepLines w:val="0"/>
        <w:shd w:val="clear" w:color="auto" w:fill="auto"/>
        <w:bidi w:val="0"/>
        <w:spacing w:before="0" w:after="240" w:line="295" w:lineRule="exact"/>
        <w:ind w:left="20" w:right="20" w:firstLine="700"/>
      </w:pPr>
      <w:r>
        <w:rPr>
          <w:lang w:val="ru-RU" w:eastAsia="ru-RU" w:bidi="ru-RU"/>
          <w:sz w:val="24"/>
          <w:szCs w:val="24"/>
          <w:w w:val="100"/>
          <w:spacing w:val="0"/>
          <w:color w:val="000000"/>
          <w:position w:val="0"/>
        </w:rPr>
        <w:t>Допущенное Заказчиком нарушение повлекло за собой признание заявки Заявителя не соответствующей требованиям документации о Закупке, содержащей неправомерные требования к составу второй части заявки на участие в Закупке.</w:t>
      </w:r>
    </w:p>
    <w:p>
      <w:pPr>
        <w:pStyle w:val="Style9"/>
        <w:numPr>
          <w:ilvl w:val="0"/>
          <w:numId w:val="3"/>
        </w:numPr>
        <w:tabs>
          <w:tab w:leader="none" w:pos="1057" w:val="left"/>
        </w:tabs>
        <w:widowControl w:val="0"/>
        <w:keepNext w:val="0"/>
        <w:keepLines w:val="0"/>
        <w:shd w:val="clear" w:color="auto" w:fill="auto"/>
        <w:bidi w:val="0"/>
        <w:spacing w:before="0" w:after="240" w:line="295" w:lineRule="exact"/>
        <w:ind w:left="20" w:right="20" w:firstLine="700"/>
      </w:pPr>
      <w:r>
        <w:rPr>
          <w:lang w:val="ru-RU" w:eastAsia="ru-RU" w:bidi="ru-RU"/>
          <w:sz w:val="24"/>
          <w:szCs w:val="24"/>
          <w:w w:val="100"/>
          <w:spacing w:val="0"/>
          <w:color w:val="000000"/>
          <w:position w:val="0"/>
        </w:rPr>
        <w:t>В соответствии с пунктом 6 части 5 статьи 66 Закона о контрактной системе вторая часть заявки на участие в ЭА должна содержать, в том числе документы, предусмотренные нормативными правовыми актами, принятыми в соответствии со статьей 14 данного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ЭА документов, предусмотренных данным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tabs>
          <w:tab w:leader="none" w:pos="3270" w:val="left"/>
          <w:tab w:leader="none" w:pos="5095" w:val="left"/>
          <w:tab w:leader="none" w:pos="7960" w:val="center"/>
          <w:tab w:leader="none" w:pos="9355" w:val="righ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Постановлением Правительства РФ от 30.04.2020 № 617 «Об ограничении допуска отдельных видов промышленных товаров, происходящих из иностранных государств, для целей</w:t>
        <w:tab/>
        <w:t>осуществления</w:t>
        <w:tab/>
        <w:t>закупок для</w:t>
        <w:tab/>
        <w:t>государственных</w:t>
        <w:tab/>
        <w:t>и</w:t>
      </w:r>
    </w:p>
    <w:p>
      <w:pPr>
        <w:pStyle w:val="Style9"/>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муниципальных нужд» (далее - Постановление № 617) устанавливаются ограничения допуска отдельных видов промышленных товаров, происходящих из иностранных государств, для целей осуществления закупок для государственных и муниципальных нужд согласно перечню.</w:t>
      </w:r>
    </w:p>
    <w:p>
      <w:pPr>
        <w:pStyle w:val="Style9"/>
        <w:tabs>
          <w:tab w:leader="none" w:pos="3270" w:val="left"/>
          <w:tab w:leader="none" w:pos="5095" w:val="left"/>
          <w:tab w:leader="none" w:pos="7960" w:val="center"/>
          <w:tab w:leader="none" w:pos="9355" w:val="righ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Приказом Минфина России от 04.06.2018 № 126н «Об условиях допуска товаров, происходящих из иностранного государства или группы иностранных государств, для целей</w:t>
        <w:tab/>
        <w:t>осуществления</w:t>
        <w:tab/>
        <w:t>закупок для</w:t>
        <w:tab/>
        <w:t>государственных</w:t>
        <w:tab/>
        <w:t>и</w:t>
      </w:r>
    </w:p>
    <w:p>
      <w:pPr>
        <w:pStyle w:val="Style9"/>
        <w:tabs>
          <w:tab w:leader="none" w:pos="3270" w:val="left"/>
          <w:tab w:leader="none" w:pos="5095" w:val="left"/>
          <w:tab w:leader="none" w:pos="7960" w:val="center"/>
          <w:tab w:leader="none" w:pos="9355" w:val="right"/>
        </w:tabs>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муниципальных нужд» (далее - приказ №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w:t>
        <w:tab/>
        <w:t>товаров для</w:t>
        <w:tab/>
        <w:t>обеспечения</w:t>
        <w:tab/>
        <w:t>государственных</w:t>
        <w:tab/>
        <w:t>и</w:t>
      </w:r>
    </w:p>
    <w:p>
      <w:pPr>
        <w:pStyle w:val="Style9"/>
        <w:widowControl w:val="0"/>
        <w:keepNext w:val="0"/>
        <w:keepLines w:val="0"/>
        <w:shd w:val="clear" w:color="auto" w:fill="auto"/>
        <w:bidi w:val="0"/>
        <w:spacing w:before="0" w:after="234" w:line="295" w:lineRule="exact"/>
        <w:ind w:left="20" w:right="20" w:firstLine="0"/>
      </w:pPr>
      <w:r>
        <w:rPr>
          <w:lang w:val="ru-RU" w:eastAsia="ru-RU" w:bidi="ru-RU"/>
          <w:sz w:val="24"/>
          <w:szCs w:val="24"/>
          <w:w w:val="100"/>
          <w:spacing w:val="0"/>
          <w:color w:val="000000"/>
          <w:position w:val="0"/>
        </w:rPr>
        <w:t>муниципальных нужд, указанных в приложении № 1, приложении № 2 к данному приказу.</w:t>
      </w:r>
    </w:p>
    <w:p>
      <w:pPr>
        <w:pStyle w:val="Style9"/>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В извещении установлены ограничения и условия допуска отдельных видов промышленных товаров, происходящих из иностранных государств, в соответствии с Постановлением № 617, приказом № 126н.</w:t>
      </w:r>
    </w:p>
    <w:p>
      <w:pPr>
        <w:pStyle w:val="Style9"/>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части 4.2 документации о Закупке установлено, что вторая часть заявки на участие в ЭА должна содержать в том числе информацию и документы, предусмотренные Постановлением № 617, приказом № 126н.</w:t>
      </w:r>
    </w:p>
    <w:p>
      <w:pPr>
        <w:pStyle w:val="Style9"/>
        <w:widowControl w:val="0"/>
        <w:keepNext w:val="0"/>
        <w:keepLines w:val="0"/>
        <w:shd w:val="clear" w:color="auto" w:fill="auto"/>
        <w:bidi w:val="0"/>
        <w:spacing w:before="0" w:after="0" w:line="292" w:lineRule="exact"/>
        <w:ind w:left="20" w:right="20" w:firstLine="700"/>
        <w:sectPr>
          <w:type w:val="continuous"/>
          <w:pgSz w:w="11906" w:h="16838"/>
          <w:pgMar w:top="1183" w:left="1031" w:right="1031" w:bottom="827" w:header="0" w:footer="3" w:gutter="437"/>
          <w:rtlGutter/>
          <w:cols w:space="720"/>
          <w:noEndnote/>
          <w:docGrid w:linePitch="360"/>
        </w:sectPr>
      </w:pPr>
      <w:r>
        <w:rPr>
          <w:lang w:val="ru-RU" w:eastAsia="ru-RU" w:bidi="ru-RU"/>
          <w:sz w:val="24"/>
          <w:szCs w:val="24"/>
          <w:w w:val="100"/>
          <w:spacing w:val="0"/>
          <w:color w:val="000000"/>
          <w:position w:val="0"/>
        </w:rPr>
        <w:t>При этом в данной части указано, что «информация о реестровой записи об отдельном виде промышленного товара включается в контракт. На этапе</w:t>
      </w:r>
    </w:p>
    <w:p>
      <w:pPr>
        <w:pStyle w:val="Style9"/>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российской промышленной продукции, формируемую посредством</w:t>
      </w:r>
    </w:p>
    <w:p>
      <w:pPr>
        <w:pStyle w:val="Style9"/>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государственной информационной системы промышленности, или копию сертификата, указанного в подпункте «б» пункта 7 Постановления № 617.</w:t>
      </w:r>
    </w:p>
    <w:p>
      <w:pPr>
        <w:pStyle w:val="Style9"/>
        <w:widowControl w:val="0"/>
        <w:keepNext w:val="0"/>
        <w:keepLines w:val="0"/>
        <w:shd w:val="clear" w:color="auto" w:fill="auto"/>
        <w:bidi w:val="0"/>
        <w:spacing w:before="0" w:after="0" w:line="302" w:lineRule="exact"/>
        <w:ind w:left="20" w:right="20" w:firstLine="840"/>
      </w:pPr>
      <w:r>
        <w:rPr>
          <w:lang w:val="ru-RU" w:eastAsia="ru-RU" w:bidi="ru-RU"/>
          <w:sz w:val="24"/>
          <w:szCs w:val="24"/>
          <w:w w:val="100"/>
          <w:spacing w:val="0"/>
          <w:color w:val="000000"/>
          <w:position w:val="0"/>
        </w:rPr>
        <w:t>Подавая заявку, участник закупки соглашается с условием о необходимости представить на стадии исполнения контракта указанные в абзаце втором данного пункта документы».</w:t>
      </w:r>
    </w:p>
    <w:p>
      <w:pPr>
        <w:pStyle w:val="Style9"/>
        <w:widowControl w:val="0"/>
        <w:keepNext w:val="0"/>
        <w:keepLines w:val="0"/>
        <w:shd w:val="clear" w:color="auto" w:fill="auto"/>
        <w:bidi w:val="0"/>
        <w:spacing w:before="0" w:after="246" w:line="302" w:lineRule="exact"/>
        <w:ind w:left="20" w:right="20" w:firstLine="840"/>
      </w:pPr>
      <w:r>
        <w:rPr>
          <w:lang w:val="ru-RU" w:eastAsia="ru-RU" w:bidi="ru-RU"/>
          <w:sz w:val="24"/>
          <w:szCs w:val="24"/>
          <w:w w:val="100"/>
          <w:spacing w:val="0"/>
          <w:color w:val="000000"/>
          <w:position w:val="0"/>
        </w:rPr>
        <w:t>То есть, документация о Закупке содержит противоречивую информацию о содержании второй части заявки на участие в Закупке.</w:t>
      </w:r>
    </w:p>
    <w:p>
      <w:pPr>
        <w:pStyle w:val="Style9"/>
        <w:widowControl w:val="0"/>
        <w:keepNext w:val="0"/>
        <w:keepLines w:val="0"/>
        <w:shd w:val="clear" w:color="auto" w:fill="auto"/>
        <w:bidi w:val="0"/>
        <w:spacing w:before="0" w:after="0" w:line="295" w:lineRule="exact"/>
        <w:ind w:left="20" w:right="20" w:firstLine="840"/>
      </w:pPr>
      <w:r>
        <w:rPr>
          <w:lang w:val="ru-RU" w:eastAsia="ru-RU" w:bidi="ru-RU"/>
          <w:sz w:val="24"/>
          <w:szCs w:val="24"/>
          <w:w w:val="100"/>
          <w:spacing w:val="0"/>
          <w:color w:val="000000"/>
          <w:position w:val="0"/>
        </w:rPr>
        <w:t>Вместе с тем, фильтры для облучателей-рециркуляторов бактерицидных в перечне Постановления № 617, приложениях приказа № 126н отсутствуют.</w:t>
      </w:r>
    </w:p>
    <w:p>
      <w:pPr>
        <w:pStyle w:val="Style9"/>
        <w:tabs>
          <w:tab w:leader="none" w:pos="9351" w:val="right"/>
        </w:tabs>
        <w:widowControl w:val="0"/>
        <w:keepNext w:val="0"/>
        <w:keepLines w:val="0"/>
        <w:shd w:val="clear" w:color="auto" w:fill="auto"/>
        <w:bidi w:val="0"/>
        <w:spacing w:before="0" w:after="0" w:line="302" w:lineRule="exact"/>
        <w:ind w:left="20" w:right="20" w:firstLine="840"/>
      </w:pPr>
      <w:r>
        <w:rPr>
          <w:lang w:val="ru-RU" w:eastAsia="ru-RU" w:bidi="ru-RU"/>
          <w:sz w:val="24"/>
          <w:szCs w:val="24"/>
          <w:w w:val="100"/>
          <w:spacing w:val="0"/>
          <w:color w:val="000000"/>
          <w:position w:val="0"/>
        </w:rPr>
        <w:t>Таким образом, Заказчик установил ограничения и условия допуска отдельных видов промышленных товаров, происходящих из иностранных государств, предусмотренные Постановлением № 617, приказом №</w:t>
        <w:tab/>
        <w:t>126н,</w:t>
      </w:r>
    </w:p>
    <w:p>
      <w:pPr>
        <w:pStyle w:val="Style3"/>
        <w:widowControl w:val="0"/>
        <w:keepNext w:val="0"/>
        <w:keepLines w:val="0"/>
        <w:shd w:val="clear" w:color="auto" w:fill="auto"/>
        <w:bidi w:val="0"/>
        <w:jc w:val="both"/>
        <w:spacing w:before="0" w:after="249" w:line="302" w:lineRule="exact"/>
        <w:ind w:left="20" w:right="20" w:firstLine="0"/>
      </w:pPr>
      <w:r>
        <w:rPr>
          <w:rStyle w:val="CharStyle13"/>
          <w:b w:val="0"/>
          <w:bCs w:val="0"/>
        </w:rPr>
        <w:t xml:space="preserve">требования к содержанию второй части заявки на участие в Закупке </w:t>
      </w:r>
      <w:r>
        <w:rPr>
          <w:lang w:val="ru-RU" w:eastAsia="ru-RU" w:bidi="ru-RU"/>
          <w:sz w:val="24"/>
          <w:szCs w:val="24"/>
          <w:w w:val="100"/>
          <w:spacing w:val="0"/>
          <w:color w:val="000000"/>
          <w:position w:val="0"/>
        </w:rPr>
        <w:t>в нарушение статьи 14, пункта 6 части 5 статьи 66 Закона о контрактной системе.</w:t>
      </w:r>
    </w:p>
    <w:p>
      <w:pPr>
        <w:pStyle w:val="Style9"/>
        <w:widowControl w:val="0"/>
        <w:keepNext w:val="0"/>
        <w:keepLines w:val="0"/>
        <w:shd w:val="clear" w:color="auto" w:fill="auto"/>
        <w:bidi w:val="0"/>
        <w:spacing w:before="0" w:after="232" w:line="292" w:lineRule="exact"/>
        <w:ind w:left="20" w:right="20" w:firstLine="720"/>
      </w:pPr>
      <w:r>
        <w:rPr>
          <w:lang w:val="ru-RU" w:eastAsia="ru-RU" w:bidi="ru-RU"/>
          <w:sz w:val="24"/>
          <w:szCs w:val="24"/>
          <w:w w:val="100"/>
          <w:spacing w:val="0"/>
          <w:color w:val="000000"/>
          <w:position w:val="0"/>
        </w:rPr>
        <w:t>Вышеуказанные нарушения Закона о контрактной системы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9"/>
        <w:widowControl w:val="0"/>
        <w:keepNext w:val="0"/>
        <w:keepLines w:val="0"/>
        <w:shd w:val="clear" w:color="auto" w:fill="auto"/>
        <w:bidi w:val="0"/>
        <w:spacing w:before="0" w:after="290" w:line="302" w:lineRule="exact"/>
        <w:ind w:left="20" w:right="20" w:firstLine="72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и Административным регламентом, утвержденным приказом ФАС России от 19.11.2014 № 727/14, Комиссия</w:t>
      </w:r>
    </w:p>
    <w:p>
      <w:pPr>
        <w:pStyle w:val="Style3"/>
        <w:widowControl w:val="0"/>
        <w:keepNext w:val="0"/>
        <w:keepLines w:val="0"/>
        <w:shd w:val="clear" w:color="auto" w:fill="auto"/>
        <w:bidi w:val="0"/>
        <w:jc w:val="left"/>
        <w:spacing w:before="0" w:after="293" w:line="240" w:lineRule="exact"/>
        <w:ind w:left="4280" w:right="0" w:firstLine="0"/>
      </w:pPr>
      <w:r>
        <w:rPr>
          <w:lang w:val="ru-RU" w:eastAsia="ru-RU" w:bidi="ru-RU"/>
          <w:sz w:val="24"/>
          <w:szCs w:val="24"/>
          <w:w w:val="100"/>
          <w:spacing w:val="0"/>
          <w:color w:val="000000"/>
          <w:position w:val="0"/>
        </w:rPr>
        <w:t>РЕШИЛА:</w:t>
      </w:r>
    </w:p>
    <w:p>
      <w:pPr>
        <w:pStyle w:val="Style9"/>
        <w:numPr>
          <w:ilvl w:val="0"/>
          <w:numId w:val="7"/>
        </w:numPr>
        <w:widowControl w:val="0"/>
        <w:keepNext w:val="0"/>
        <w:keepLines w:val="0"/>
        <w:shd w:val="clear" w:color="auto" w:fill="auto"/>
        <w:bidi w:val="0"/>
        <w:spacing w:before="0" w:after="0" w:line="240" w:lineRule="exact"/>
        <w:ind w:left="20" w:right="0" w:firstLine="720"/>
      </w:pPr>
      <w:r>
        <w:rPr>
          <w:lang w:val="ru-RU" w:eastAsia="ru-RU" w:bidi="ru-RU"/>
          <w:sz w:val="24"/>
          <w:szCs w:val="24"/>
          <w:w w:val="100"/>
          <w:spacing w:val="0"/>
          <w:color w:val="000000"/>
          <w:position w:val="0"/>
        </w:rPr>
        <w:t xml:space="preserve"> Признать жалобу обоснованной.</w:t>
      </w:r>
    </w:p>
    <w:p>
      <w:pPr>
        <w:pStyle w:val="Style9"/>
        <w:numPr>
          <w:ilvl w:val="0"/>
          <w:numId w:val="7"/>
        </w:numPr>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 xml:space="preserve"> Признать в действиях Заказчика нарушение части 6 статьи 66, статьи 14, пункта 6 части 5 статьи 66 Закона о контрактной системе.</w:t>
      </w:r>
    </w:p>
    <w:p>
      <w:pPr>
        <w:pStyle w:val="Style9"/>
        <w:numPr>
          <w:ilvl w:val="0"/>
          <w:numId w:val="7"/>
        </w:numPr>
        <w:widowControl w:val="0"/>
        <w:keepNext w:val="0"/>
        <w:keepLines w:val="0"/>
        <w:shd w:val="clear" w:color="auto" w:fill="auto"/>
        <w:bidi w:val="0"/>
        <w:spacing w:before="0" w:after="0" w:line="310" w:lineRule="exact"/>
        <w:ind w:left="20" w:right="20" w:firstLine="720"/>
      </w:pPr>
      <w:r>
        <w:rPr>
          <w:lang w:val="ru-RU" w:eastAsia="ru-RU" w:bidi="ru-RU"/>
          <w:sz w:val="24"/>
          <w:szCs w:val="24"/>
          <w:w w:val="100"/>
          <w:spacing w:val="0"/>
          <w:color w:val="000000"/>
          <w:position w:val="0"/>
        </w:rPr>
        <w:t xml:space="preserve"> Выдать предписание об устранении нарушения части 6 статьи 66 Закона о контрактной системе.</w:t>
      </w:r>
    </w:p>
    <w:p>
      <w:pPr>
        <w:pStyle w:val="Style9"/>
        <w:numPr>
          <w:ilvl w:val="0"/>
          <w:numId w:val="7"/>
        </w:numPr>
        <w:widowControl w:val="0"/>
        <w:keepNext w:val="0"/>
        <w:keepLines w:val="0"/>
        <w:shd w:val="clear" w:color="auto" w:fill="auto"/>
        <w:bidi w:val="0"/>
        <w:spacing w:before="0" w:after="237" w:line="299" w:lineRule="exact"/>
        <w:ind w:left="20" w:right="20" w:firstLine="720"/>
      </w:pPr>
      <w:r>
        <w:rPr>
          <w:lang w:val="ru-RU" w:eastAsia="ru-RU" w:bidi="ru-RU"/>
          <w:sz w:val="24"/>
          <w:szCs w:val="24"/>
          <w:w w:val="100"/>
          <w:spacing w:val="0"/>
          <w:color w:val="000000"/>
          <w:position w:val="0"/>
        </w:rPr>
        <w:t xml:space="preserve"> Передать материалы о выявленных нарушениях должностному лицу, уполномоченному рассматривать дела об административных правонарушениях, для рассмотрения вопроса о возбуждении административного производства в отношении должностного лица Заказчика.</w:t>
      </w:r>
    </w:p>
    <w:p>
      <w:pPr>
        <w:pStyle w:val="Style9"/>
        <w:tabs>
          <w:tab w:leader="none" w:pos="5964" w:val="right"/>
          <w:tab w:leader="none" w:pos="7371" w:val="right"/>
          <w:tab w:leader="none" w:pos="7562" w:val="center"/>
          <w:tab w:leader="none" w:pos="8509" w:val="right"/>
        </w:tabs>
        <w:widowControl w:val="0"/>
        <w:keepNext w:val="0"/>
        <w:keepLines w:val="0"/>
        <w:shd w:val="clear" w:color="auto" w:fill="auto"/>
        <w:bidi w:val="0"/>
        <w:spacing w:before="0" w:after="0" w:line="302" w:lineRule="exact"/>
        <w:ind w:left="20" w:right="0" w:firstLine="0"/>
      </w:pPr>
      <w:r>
        <w:rPr>
          <w:lang w:val="ru-RU" w:eastAsia="ru-RU" w:bidi="ru-RU"/>
          <w:sz w:val="24"/>
          <w:szCs w:val="24"/>
          <w:w w:val="100"/>
          <w:spacing w:val="0"/>
          <w:color w:val="000000"/>
          <w:position w:val="0"/>
        </w:rPr>
        <w:t>Настоящее решение может б</w:t>
        <w:tab/>
        <w:t>^</w:t>
        <w:tab/>
        <w:t>дке</w:t>
        <w:tab/>
        <w:t>в</w:t>
        <w:tab/>
        <w:t>течение</w:t>
      </w:r>
    </w:p>
    <w:p>
      <w:pPr>
        <w:pStyle w:val="Style9"/>
        <w:widowControl w:val="0"/>
        <w:keepNext w:val="0"/>
        <w:keepLines w:val="0"/>
        <w:shd w:val="clear" w:color="auto" w:fill="auto"/>
        <w:bidi w:val="0"/>
        <w:spacing w:before="0" w:after="306" w:line="302" w:lineRule="exact"/>
        <w:ind w:left="20" w:right="0" w:firstLine="0"/>
      </w:pPr>
      <w:r>
        <w:rPr>
          <w:lang w:val="ru-RU" w:eastAsia="ru-RU" w:bidi="ru-RU"/>
          <w:sz w:val="24"/>
          <w:szCs w:val="24"/>
          <w:w w:val="100"/>
          <w:spacing w:val="0"/>
          <w:color w:val="000000"/>
          <w:position w:val="0"/>
        </w:rPr>
        <w:t>трех месяцев со дня его принятия.</w:t>
      </w:r>
    </w:p>
    <w:p>
      <w:pPr>
        <w:pStyle w:val="Style14"/>
        <w:tabs>
          <w:tab w:leader="none" w:pos="6253" w:val="right"/>
        </w:tabs>
        <w:widowControl w:val="0"/>
        <w:keepNext w:val="0"/>
        <w:keepLines w:val="0"/>
        <w:shd w:val="clear" w:color="auto" w:fill="auto"/>
        <w:bidi w:val="0"/>
        <w:spacing w:before="0" w:after="0" w:line="220" w:lineRule="exact"/>
        <w:ind w:left="4680" w:right="0" w:firstLine="0"/>
      </w:pPr>
      <w:r>
        <w:rPr>
          <w:rStyle w:val="CharStyle16"/>
        </w:rPr>
        <w:t>/</w:t>
      </w:r>
      <w:r>
        <w:rPr>
          <w:rStyle w:val="CharStyle17"/>
        </w:rPr>
        <w:t>77</w:t>
      </w:r>
      <w:r>
        <w:rPr>
          <w:rStyle w:val="CharStyle16"/>
        </w:rPr>
        <w:t>)</w:t>
        <w:tab/>
        <w:t>^</w:t>
      </w:r>
    </w:p>
    <w:p>
      <w:pPr>
        <w:pStyle w:val="Style18"/>
        <w:widowControl w:val="0"/>
        <w:keepNext/>
        <w:keepLines/>
        <w:shd w:val="clear" w:color="auto" w:fill="auto"/>
        <w:bidi w:val="0"/>
        <w:spacing w:before="0" w:after="0" w:line="400" w:lineRule="exact"/>
        <w:ind w:left="0" w:right="20" w:firstLine="0"/>
      </w:pPr>
      <w:bookmarkStart w:id="1" w:name="bookmark1"/>
      <w:r>
        <w:rPr>
          <w:rStyle w:val="CharStyle20"/>
          <w:i/>
          <w:iCs/>
        </w:rPr>
        <w:t>'JJlyrvr</w:t>
      </w:r>
      <w:bookmarkEnd w:id="1"/>
    </w:p>
    <w:p>
      <w:pPr>
        <w:pStyle w:val="Style9"/>
        <w:framePr w:h="240" w:wrap="around" w:vAnchor="text" w:hAnchor="margin" w:x="770" w:y="-4"/>
        <w:widowControl w:val="0"/>
        <w:keepNext w:val="0"/>
        <w:keepLines w:val="0"/>
        <w:shd w:val="clear" w:color="auto" w:fill="auto"/>
        <w:bidi w:val="0"/>
        <w:jc w:val="left"/>
        <w:spacing w:before="0" w:after="0" w:line="240" w:lineRule="exact"/>
        <w:ind w:left="100" w:right="0" w:firstLine="0"/>
      </w:pPr>
      <w:r>
        <w:rPr>
          <w:rStyle w:val="CharStyle12"/>
        </w:rPr>
        <w:t>Члены комиссии:</w:t>
      </w:r>
    </w:p>
    <w:p>
      <w:pPr>
        <w:pStyle w:val="Style9"/>
        <w:widowControl w:val="0"/>
        <w:keepNext w:val="0"/>
        <w:keepLines w:val="0"/>
        <w:shd w:val="clear" w:color="auto" w:fill="auto"/>
        <w:bidi w:val="0"/>
        <w:jc w:val="right"/>
        <w:spacing w:before="0" w:after="293" w:line="240" w:lineRule="exact"/>
        <w:ind w:left="0" w:right="20" w:firstLine="0"/>
      </w:pPr>
      <w:r>
        <w:rPr>
          <w:lang w:val="ru-RU" w:eastAsia="ru-RU" w:bidi="ru-RU"/>
          <w:sz w:val="24"/>
          <w:szCs w:val="24"/>
          <w:w w:val="100"/>
          <w:spacing w:val="0"/>
          <w:color w:val="000000"/>
          <w:position w:val="0"/>
        </w:rPr>
        <w:t>_ С.Н. Парфирьева</w:t>
      </w:r>
    </w:p>
    <w:p>
      <w:pPr>
        <w:pStyle w:val="Style9"/>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Л.Б. Шиханова</w:t>
      </w:r>
    </w:p>
    <w:sectPr>
      <w:pgSz w:w="11906" w:h="16838"/>
      <w:pgMar w:top="1083" w:left="1267" w:right="1267" w:bottom="195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Заголовок №2_"/>
    <w:basedOn w:val="DefaultParagraphFont"/>
    <w:link w:val="Style5"/>
    <w:rPr>
      <w:b/>
      <w:bCs/>
      <w:i w:val="0"/>
      <w:iCs w:val="0"/>
      <w:u w:val="none"/>
      <w:strike w:val="0"/>
      <w:smallCaps w:val="0"/>
      <w:sz w:val="28"/>
      <w:szCs w:val="28"/>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21"/>
      <w:szCs w:val="21"/>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 Полужирный"/>
    <w:basedOn w:val="CharStyle10"/>
    <w:rPr>
      <w:lang w:val="ru-RU" w:eastAsia="ru-RU" w:bidi="ru-RU"/>
      <w:b/>
      <w:bCs/>
      <w:sz w:val="24"/>
      <w:szCs w:val="24"/>
      <w:w w:val="100"/>
      <w:spacing w:val="0"/>
      <w:color w:val="000000"/>
      <w:position w:val="0"/>
    </w:rPr>
  </w:style>
  <w:style w:type="character" w:customStyle="1" w:styleId="CharStyle12">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2) + Не полужирный"/>
    <w:basedOn w:val="CharStyle4"/>
    <w:rPr>
      <w:lang w:val="ru-RU" w:eastAsia="ru-RU" w:bidi="ru-RU"/>
      <w:b/>
      <w:bCs/>
      <w:sz w:val="24"/>
      <w:szCs w:val="24"/>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7">
    <w:name w:val="Основной текст (4) + Trebuchet MS,11 pt,Интервал 0 pt,Масштаб 66%"/>
    <w:basedOn w:val="CharStyle15"/>
    <w:rPr>
      <w:lang w:val="ru-RU" w:eastAsia="ru-RU" w:bidi="ru-RU"/>
      <w:sz w:val="22"/>
      <w:szCs w:val="22"/>
      <w:rFonts w:ascii="Trebuchet MS" w:eastAsia="Trebuchet MS" w:hAnsi="Trebuchet MS" w:cs="Trebuchet MS"/>
      <w:w w:val="66"/>
      <w:spacing w:val="-10"/>
      <w:color w:val="000000"/>
      <w:position w:val="0"/>
    </w:rPr>
  </w:style>
  <w:style w:type="character" w:customStyle="1" w:styleId="CharStyle19">
    <w:name w:val="Заголовок №1_"/>
    <w:basedOn w:val="DefaultParagraphFont"/>
    <w:link w:val="Style18"/>
    <w:rPr>
      <w:lang w:val="en-US" w:eastAsia="en-US" w:bidi="en-US"/>
      <w:b w:val="0"/>
      <w:bCs w:val="0"/>
      <w:i/>
      <w:iCs/>
      <w:u w:val="none"/>
      <w:strike w:val="0"/>
      <w:smallCaps w:val="0"/>
      <w:sz w:val="40"/>
      <w:szCs w:val="40"/>
      <w:rFonts w:ascii="Times New Roman" w:eastAsia="Times New Roman" w:hAnsi="Times New Roman" w:cs="Times New Roman"/>
      <w:spacing w:val="-20"/>
    </w:rPr>
  </w:style>
  <w:style w:type="character" w:customStyle="1" w:styleId="CharStyle20">
    <w:name w:val="Заголовок №1"/>
    <w:basedOn w:val="CharStyle19"/>
    <w:rPr>
      <w:u w:val="single"/>
      <w:w w:val="10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4" w:lineRule="exact"/>
    </w:pPr>
    <w:rPr>
      <w:b/>
      <w:bCs/>
      <w:i w:val="0"/>
      <w:iCs w:val="0"/>
      <w:u w:val="none"/>
      <w:strike w:val="0"/>
      <w:smallCaps w:val="0"/>
      <w:rFonts w:ascii="Times New Roman" w:eastAsia="Times New Roman" w:hAnsi="Times New Roman" w:cs="Times New Roman"/>
    </w:rPr>
  </w:style>
  <w:style w:type="paragraph" w:customStyle="1" w:styleId="Style5">
    <w:name w:val="Заголовок №2"/>
    <w:basedOn w:val="Normal"/>
    <w:link w:val="CharStyle6"/>
    <w:pPr>
      <w:widowControl w:val="0"/>
      <w:shd w:val="clear" w:color="auto" w:fill="FFFFFF"/>
      <w:jc w:val="center"/>
      <w:outlineLvl w:val="1"/>
      <w:spacing w:before="180" w:after="60" w:line="320" w:lineRule="exact"/>
    </w:pPr>
    <w:rPr>
      <w:b/>
      <w:bCs/>
      <w:i w:val="0"/>
      <w:iCs w:val="0"/>
      <w:u w:val="none"/>
      <w:strike w:val="0"/>
      <w:smallCaps w:val="0"/>
      <w:sz w:val="28"/>
      <w:szCs w:val="28"/>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60" w:line="252"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both"/>
      <w:spacing w:before="360" w:line="0"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both"/>
      <w:spacing w:before="24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right"/>
      <w:outlineLvl w:val="0"/>
      <w:spacing w:line="0" w:lineRule="exact"/>
    </w:pPr>
    <w:rPr>
      <w:lang w:val="en-US" w:eastAsia="en-US" w:bidi="en-US"/>
      <w:b w:val="0"/>
      <w:bCs w:val="0"/>
      <w:i/>
      <w:iCs/>
      <w:u w:val="none"/>
      <w:strike w:val="0"/>
      <w:smallCaps w:val="0"/>
      <w:sz w:val="40"/>
      <w:szCs w:val="40"/>
      <w:rFonts w:ascii="Times New Roman" w:eastAsia="Times New Roman" w:hAnsi="Times New Roman" w:cs="Times New Roman"/>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