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34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 «Жилищник района Черемушки» ул. Новочеремушкинская, д. 61А, г. Москва, 117624 </w:t>
      </w:r>
      <w:r>
        <w:fldChar w:fldCharType="begin"/>
      </w:r>
      <w:r>
        <w:rPr>
          <w:color w:val="000000"/>
        </w:rPr>
        <w:instrText> HYPERLINK "mailto:gbu-cherem@mail.ru"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gbu-cherem@mail.ru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ЗАКАЗЧИКА ЖИЛИЩНО-КОММУНАЛЬНОГО ХОЗЯЙСТВА И БЛАГОУСТРОЙСТВА ЮГО-ЗАПАДНОГО АДМИНИСТРАТИВНОГО ОКРУГА» ул. ГАРИБАЛЬДИ, д. 14, г. Москва, 117393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3020" w:firstLine="0"/>
      </w:pPr>
      <w:r>
        <w:fldChar w:fldCharType="begin"/>
      </w:r>
      <w:r>
        <w:rPr>
          <w:color w:val="000000"/>
        </w:rPr>
        <w:instrText> HYPERLINK "mailto:diruzao@mail.ru"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diruzao@mail.ru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ООО «РМА»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40"/>
        <w:ind w:left="534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Электродный пр-д., д. 6, стр. 1, оф. 33, г. Москва, 111123, </w:t>
      </w:r>
      <w:r>
        <w:fldChar w:fldCharType="begin"/>
      </w:r>
      <w:r>
        <w:rPr>
          <w:color w:val="000000"/>
        </w:rPr>
        <w:instrText> HYPERLINK "mailto:rocmedicina@mail.ru"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rocmedicina@mail.ru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077/06/106-18908/2021 о нарушении законодательства о контрактной системе</w:t>
      </w:r>
    </w:p>
    <w:p>
      <w:pPr>
        <w:pStyle w:val="Style7"/>
        <w:numPr>
          <w:ilvl w:val="0"/>
          <w:numId w:val="1"/>
        </w:numPr>
        <w:tabs>
          <w:tab w:leader="none" w:pos="9074" w:val="right"/>
          <w:tab w:leader="none" w:pos="102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закупки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</w:t>
      </w:r>
    </w:p>
    <w:p>
      <w:pPr>
        <w:pStyle w:val="Style5"/>
        <w:tabs>
          <w:tab w:leader="none" w:pos="6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tabs>
          <w:tab w:leader="none" w:pos="2829" w:val="center"/>
          <w:tab w:leader="none" w:pos="6731" w:val="right"/>
          <w:tab w:leader="none" w:pos="102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ЗАКАЗЧИКА ЖИЛИЩНО-КОММУНАЛЬНОГО ХОЗЯЙСТВА</w:t>
        <w:tab/>
        <w:t>И</w:t>
        <w:tab/>
        <w:t>БЛАГОУСТРОЙСТВА</w:t>
        <w:tab/>
        <w:t>ЮГО-ЗАПАДНОГО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АДМИНИСТРАТИВНОГО ОКРУГА»: М.М. Насибяна (по доверенности от</w:t>
      </w:r>
    </w:p>
    <w:p>
      <w:pPr>
        <w:pStyle w:val="Style3"/>
        <w:framePr w:w="1685" w:h="394" w:wrap="around" w:vAnchor="text" w:hAnchor="margin" w:x="385" w:y="5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001527863510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№1-21), В.В. Коротеева (по доверенности от 17.03.2021 №1-21),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Р.О. Абрамова (по доверенности от 17.03.2021 №1-21),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«РМА»: Кожанова Д.А. (решение №6 от 18.10.2019), а также в отсутствие представителей ГБУ «Жилищник района Черемушки», о времени, порядке рассмотрения жалобы уведомлены письмом Московского УФАС России (исх.№ЕИ/64427/21 от 20.10.2021).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«РМА» (далее — Заявитель) на действия ГБУ «Жилищник района Черемушки» (далее — Заказчик) при проведении электронного аукциона на право заключения государственного контракта на оказание медицинских услуг по проведению предрейсовых и послерейсовых медицинских осмотров для нужд ГБУ «Жилищник района Черемушки». (Закупка № 0373200032221001358)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открытого аукциона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Уполномоченным органом представлены документы и сведения, запрашиваемые письмом Московского УФАС России исх.№ЕИ/64427/21 от 20.10.2021.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составе жалобы указывает на неправомерные действия Заказчика, выразившиеся в неустановлении в требованиях к лицензии на осуществление медицинской деятельности указания на медицинские осмотры (предсменные, послесменные).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п.1-2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а также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Ч.3 ст.64 Закона о контрактной системе установлено, что документация об электронном аукционе наряду с предусмотренной ч. 1 ст.64 Закона о контрактной системе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tabs>
          <w:tab w:leader="none" w:pos="14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ч.1 ст.31 Закона о контрактной системе при осуществлении закупки заказчик устанавливает следующие единые требования к участникам закупки:</w:t>
        <w:tab/>
        <w:t>соответствие требованиям, установленным в соответствии с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п.46 ч.1 ст.12 Федерального закона от 04.05.2011 №99-ФЗ «О лицензировании отдельных видов деятельности»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подлежит лицензированию.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лицензирования медицинской деятельности определяется постановлением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(далее — Постановление №852).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П.16.1 Информационной карты установлено, что исполнитель должен иметь действующую лицензию на медицинскую деятельность в соответствии с Федеральным законом от 04.05.2011 №99-ФЗ «О лицензировании отдельных видов деятельности». В состав разрешенной деятельности должны входить: медицинские осмотры (предрейсовые, послерейсовые). Также п. 18.2 Информационной карты аукционной документации предусмотрено предоставление в составе второй части заявки данной лицензии.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ч.9 ст.105 Закона о контрактной системе к жалобе прикладываются документы, подтверждающие ее обоснованность.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Заявителя пояснил, что техническим заданием установлен перечень нормативно-правовых актов в соответствии с которым должны оказываться услуги являющиеся предметом закупки, в том числе приказ Министерства здравоохранения Российской Федерации от 15.12.2014 № 835н «Об утверждении Порядка проведения предсменных, предрейсовых и послесменных, послерейсовых медицинских осмотров».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отмечает, что указанный нормативно-правовой акт содержит указание на такой вид медицинской деятельности как проведения предсменных, предрейсовых и </w:t>
      </w:r>
      <w:r>
        <w:rPr>
          <w:rStyle w:val="CharStyle11"/>
        </w:rPr>
        <w:t>послесменных, послерейсовых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медицинских осмотров. Кроме того, Постановление №852 на основании которого установлено требование о лицензировании медицинской деятельности также содержит указание на медицинские осмотры </w:t>
      </w:r>
      <w:r>
        <w:rPr>
          <w:rStyle w:val="CharStyle11"/>
        </w:rPr>
        <w:t>(предсменные,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предрейсовые, </w:t>
      </w:r>
      <w:r>
        <w:rPr>
          <w:rStyle w:val="CharStyle11"/>
        </w:rPr>
        <w:t xml:space="preserve">послесменные,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послерейсовые).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мнению Заявителя требование о наличии у участников закупки лицензии на медицинскую деятельность в которую входит проведение медицинских осмотров, только предрейсовых, послерейсовых нарушает положения действующего законодательства.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системе, лица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согласившись с доводом жалобы, представители Уполномоченного органа пояснили, что пояснили, что требование к лицензии установлено исходя из того, что, объектом закупки является оказание услуг для водителей выходящих в рейс. У данных работников отсутствуют смены.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 Комиссия Управления отмечает, что согласно Постановлению №852 в состав рецензируемой деятельности по проведению медицинских осмотров включается как проведение предсменных и послесменных осмотров, так и проведение предрейсовых и послерейсовых осмотров.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 формальное не указание Заказчиком на предсменные и послесменные осмотры в составе лицензии выданной в соответствии с Постановлением №852 не противоречит положениям законодательства.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ч.9 ст.105 Закона о контрактной системе к жалобе прикладываются документы, подтверждающие ее обоснованность. Вместе с тем на заседании Комиссии Управления Заявителем не представлено документов и сведений, подтверждающих обоснованность данного довода жалобы и свидетельствующих о нарушениях прав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4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18" w:left="846" w:right="822" w:bottom="103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«РМА» на действия ГБУ «Жилищник района Черемушки» необоснованной.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исх. №ЕИ/63451/21 от 15.10.2021.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12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framePr w:w="4533" w:h="859" w:wrap="around" w:vAnchor="text" w:hAnchor="margin" w:x="59" w:y="-149"/>
        <w:widowControl w:val="0"/>
        <w:keepNext w:val="0"/>
        <w:keepLines w:val="0"/>
        <w:shd w:val="clear" w:color="auto" w:fill="auto"/>
        <w:bidi w:val="0"/>
        <w:jc w:val="both"/>
        <w:spacing w:before="0" w:after="0" w:line="427" w:lineRule="exact"/>
        <w:ind w:left="0" w:right="100" w:firstLine="0"/>
      </w:pPr>
      <w:r>
        <w:rPr>
          <w:rStyle w:val="CharStyle12"/>
          <w:spacing w:val="0"/>
        </w:rPr>
        <w:t>Заместитель председателя Комиссии 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432" w:lineRule="exact"/>
        <w:ind w:left="34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Д.С. Грешнева А.А. Кутейников</w:t>
      </w:r>
    </w:p>
    <w:p>
      <w:pPr>
        <w:pStyle w:val="Style5"/>
        <w:tabs>
          <w:tab w:leader="none" w:pos="9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582" w:line="432" w:lineRule="exact"/>
        <w:ind w:left="8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Исп.Кутейников А.А. тел.8(495)784-75-05</w:t>
      </w:r>
    </w:p>
    <w:sectPr>
      <w:pgSz w:w="11906" w:h="16838"/>
      <w:pgMar w:top="1269" w:left="853" w:right="853" w:bottom="23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5.10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7.03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Курсив"/>
    <w:basedOn w:val="CharStyle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24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8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744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01.06.2021 N 852"О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Федерации"(вместе с "Положением о лицензировании медицинской деятельности (за исключением указанной деятельности, осуществляемой медицинскими орган</dc:title>
  <dc:subject/>
  <dc:creator/>
  <cp:keywords/>
</cp:coreProperties>
</file>