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70" w:wrap="around" w:vAnchor="text" w:hAnchor="margin" w:x="2467" w:y="3839"/>
        <w:widowControl w:val="0"/>
        <w:keepNext w:val="0"/>
        <w:keepLines w:val="0"/>
        <w:shd w:val="clear" w:color="auto" w:fill="auto"/>
        <w:bidi w:val="0"/>
        <w:jc w:val="left"/>
        <w:spacing w:before="0" w:after="0" w:line="170" w:lineRule="exact"/>
        <w:ind w:left="100" w:right="0" w:firstLine="0"/>
      </w:pPr>
      <w:r>
        <w:rPr>
          <w:lang w:val="ru-RU" w:eastAsia="ru-RU" w:bidi="ru-RU"/>
          <w:w w:val="100"/>
          <w:spacing w:val="0"/>
          <w:color w:val="000000"/>
          <w:position w:val="0"/>
        </w:rPr>
        <w:t>от</w:t>
      </w:r>
    </w:p>
    <w:p>
      <w:pPr>
        <w:widowControl w:val="0"/>
        <w:rPr>
          <w:sz w:val="2"/>
          <w:szCs w:val="2"/>
        </w:rPr>
      </w:pPr>
    </w:p>
    <w:p>
      <w:pPr>
        <w:pStyle w:val="Style5"/>
        <w:widowControl w:val="0"/>
        <w:keepNext w:val="0"/>
        <w:keepLines w:val="0"/>
        <w:shd w:val="clear" w:color="auto" w:fill="auto"/>
        <w:bidi w:val="0"/>
        <w:spacing w:before="0" w:after="110"/>
        <w:ind w:left="0" w:right="40" w:firstLine="0"/>
      </w:pPr>
      <w:r>
        <w:rPr>
          <w:lang w:val="ru-RU" w:eastAsia="ru-RU" w:bidi="ru-RU"/>
          <w:w w:val="100"/>
          <w:color w:val="000000"/>
          <w:position w:val="0"/>
        </w:rPr>
        <w:t>ФЕДЕРАЛЬНАЯ АНТИМОНОПОЛЬНАЯ СЛУЖБА</w:t>
      </w:r>
    </w:p>
    <w:p>
      <w:pPr>
        <w:pStyle w:val="Style7"/>
        <w:widowControl w:val="0"/>
        <w:keepNext w:val="0"/>
        <w:keepLines w:val="0"/>
        <w:shd w:val="clear" w:color="auto" w:fill="auto"/>
        <w:bidi w:val="0"/>
        <w:spacing w:before="0" w:after="0" w:line="230" w:lineRule="exact"/>
        <w:ind w:left="0" w:right="0" w:firstLine="0"/>
      </w:pPr>
      <w:r>
        <w:rPr>
          <w:lang w:val="ru-RU" w:eastAsia="ru-RU" w:bidi="ru-RU"/>
          <w:w w:val="100"/>
          <w:spacing w:val="0"/>
          <w:color w:val="000000"/>
          <w:position w:val="0"/>
        </w:rPr>
        <w:t>УПРАВЛЕНИЕ</w:t>
      </w:r>
    </w:p>
    <w:p>
      <w:pPr>
        <w:pStyle w:val="Style5"/>
        <w:widowControl w:val="0"/>
        <w:keepNext w:val="0"/>
        <w:keepLines w:val="0"/>
        <w:shd w:val="clear" w:color="auto" w:fill="auto"/>
        <w:bidi w:val="0"/>
        <w:spacing w:before="0" w:after="91" w:line="259" w:lineRule="exact"/>
        <w:ind w:left="0" w:right="0" w:firstLine="0"/>
      </w:pPr>
      <w:r>
        <w:rPr>
          <w:rStyle w:val="CharStyle9"/>
        </w:rPr>
        <w:t xml:space="preserve">Федеральной </w:t>
      </w:r>
      <w:r>
        <w:rPr>
          <w:lang w:val="ru-RU" w:eastAsia="ru-RU" w:bidi="ru-RU"/>
          <w:w w:val="100"/>
          <w:color w:val="000000"/>
          <w:position w:val="0"/>
        </w:rPr>
        <w:t>антимонопольной службы но Амурской области</w:t>
      </w:r>
    </w:p>
    <w:p>
      <w:pPr>
        <w:pStyle w:val="Style10"/>
        <w:widowControl w:val="0"/>
        <w:keepNext w:val="0"/>
        <w:keepLines w:val="0"/>
        <w:shd w:val="clear" w:color="auto" w:fill="auto"/>
        <w:bidi w:val="0"/>
        <w:spacing w:before="0" w:after="189"/>
        <w:ind w:left="0" w:right="0" w:firstLine="0"/>
      </w:pPr>
      <w:r>
        <w:rPr>
          <w:rStyle w:val="CharStyle12"/>
        </w:rPr>
        <w:t xml:space="preserve">ул. </w:t>
      </w:r>
      <w:r>
        <w:rPr>
          <w:lang w:val="ru-RU" w:eastAsia="ru-RU" w:bidi="ru-RU"/>
          <w:w w:val="100"/>
          <w:color w:val="000000"/>
          <w:position w:val="0"/>
        </w:rPr>
        <w:t>Амуреыя, 150, г. Благстещенсл, Амурская оЯг.мь, 675000 тел. (4162) 52-00-07, ф-,::е (4162) 52-00-35</w:t>
      </w:r>
    </w:p>
    <w:p>
      <w:pPr>
        <w:pStyle w:val="Style13"/>
        <w:tabs>
          <w:tab w:leader="none" w:pos="2993" w:val="center"/>
        </w:tabs>
        <w:widowControl w:val="0"/>
        <w:keepNext/>
        <w:keepLines/>
        <w:shd w:val="clear" w:color="auto" w:fill="auto"/>
        <w:bidi w:val="0"/>
        <w:spacing w:before="0" w:after="0" w:line="360" w:lineRule="exact"/>
        <w:ind w:left="420" w:right="0" w:firstLine="0"/>
      </w:pPr>
      <w:bookmarkStart w:id="0" w:name="bookmark0"/>
      <w:r>
        <w:rPr>
          <w:rStyle w:val="CharStyle15"/>
          <w:vertAlign w:val="superscript"/>
          <w:b w:val="0"/>
          <w:bCs w:val="0"/>
          <w:i w:val="0"/>
          <w:iCs w:val="0"/>
        </w:rPr>
        <w:t>29</w:t>
      </w:r>
      <w:r>
        <w:rPr>
          <w:rStyle w:val="CharStyle15"/>
          <w:b w:val="0"/>
          <w:bCs w:val="0"/>
          <w:i w:val="0"/>
          <w:iCs w:val="0"/>
        </w:rPr>
        <w:t>-</w:t>
      </w:r>
      <w:r>
        <w:rPr>
          <w:rStyle w:val="CharStyle15"/>
          <w:vertAlign w:val="superscript"/>
          <w:b w:val="0"/>
          <w:bCs w:val="0"/>
          <w:i w:val="0"/>
          <w:iCs w:val="0"/>
        </w:rPr>
        <w:t>1</w:t>
      </w:r>
      <w:r>
        <w:rPr>
          <w:rStyle w:val="CharStyle16"/>
          <w:vertAlign w:val="superscript"/>
          <w:b w:val="0"/>
          <w:bCs w:val="0"/>
          <w:i w:val="0"/>
          <w:iCs w:val="0"/>
        </w:rPr>
        <w:t xml:space="preserve"> а</w:t>
      </w:r>
      <w:r>
        <w:rPr>
          <w:rStyle w:val="CharStyle16"/>
          <w:b w:val="0"/>
          <w:bCs w:val="0"/>
          <w:i w:val="0"/>
          <w:iCs w:val="0"/>
        </w:rPr>
        <w:t>- ™</w:t>
        <w:tab/>
        <w:t>.У</w:t>
      </w:r>
      <w:r>
        <w:rPr>
          <w:lang w:val="en-US" w:eastAsia="en-US" w:bidi="en-US"/>
          <w:w w:val="100"/>
          <w:spacing w:val="0"/>
          <w:color w:val="000000"/>
          <w:position w:val="0"/>
        </w:rPr>
        <w:t>pis-h&amp;</w:t>
      </w:r>
      <w:r>
        <w:rPr>
          <w:lang w:val="ru-RU" w:eastAsia="ru-RU" w:bidi="ru-RU"/>
          <w:w w:val="100"/>
          <w:spacing w:val="0"/>
          <w:color w:val="000000"/>
          <w:position w:val="0"/>
        </w:rPr>
        <w:t>-?</w:t>
      </w:r>
      <w:bookmarkEnd w:id="0"/>
    </w:p>
    <w:p>
      <w:pPr>
        <w:pStyle w:val="Style17"/>
        <w:widowControl w:val="0"/>
        <w:keepNext w:val="0"/>
        <w:keepLines w:val="0"/>
        <w:shd w:val="clear" w:color="auto" w:fill="auto"/>
        <w:bidi w:val="0"/>
        <w:jc w:val="left"/>
        <w:spacing w:before="0" w:after="0" w:line="180" w:lineRule="exact"/>
        <w:ind w:left="40" w:right="0" w:firstLine="0"/>
      </w:pPr>
      <w:r>
        <w:rPr>
          <w:lang w:val="ru-RU" w:eastAsia="ru-RU" w:bidi="ru-RU"/>
          <w:w w:val="100"/>
          <w:color w:val="000000"/>
          <w:position w:val="0"/>
        </w:rPr>
        <w:t>На.</w:t>
      </w:r>
    </w:p>
    <w:p>
      <w:pPr>
        <w:pStyle w:val="Style19"/>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Муниципальному заказчику:</w:t>
      </w:r>
    </w:p>
    <w:p>
      <w:pPr>
        <w:pStyle w:val="Style21"/>
        <w:widowControl w:val="0"/>
        <w:keepNext w:val="0"/>
        <w:keepLines w:val="0"/>
        <w:shd w:val="clear" w:color="auto" w:fill="auto"/>
        <w:bidi w:val="0"/>
        <w:jc w:val="left"/>
        <w:spacing w:before="0" w:after="236"/>
        <w:ind w:left="20" w:right="0" w:firstLine="0"/>
      </w:pPr>
      <w:r>
        <w:rPr>
          <w:lang w:val="ru-RU" w:eastAsia="ru-RU" w:bidi="ru-RU"/>
          <w:sz w:val="24"/>
          <w:szCs w:val="24"/>
          <w:w w:val="100"/>
          <w:spacing w:val="0"/>
          <w:color w:val="000000"/>
          <w:position w:val="0"/>
        </w:rPr>
        <w:t>Муниципальному казенному учреждению «Управление по делам гражданской обороны и чрезвычайным ситуациям города Б лаговещенска»</w:t>
      </w:r>
    </w:p>
    <w:p>
      <w:pPr>
        <w:pStyle w:val="Style21"/>
        <w:widowControl w:val="0"/>
        <w:keepNext w:val="0"/>
        <w:keepLines w:val="0"/>
        <w:shd w:val="clear" w:color="auto" w:fill="auto"/>
        <w:bidi w:val="0"/>
        <w:jc w:val="left"/>
        <w:spacing w:before="0" w:after="590" w:line="302" w:lineRule="exact"/>
        <w:ind w:left="20" w:right="0" w:firstLine="0"/>
      </w:pPr>
      <w:r>
        <w:rPr>
          <w:lang w:val="ru-RU" w:eastAsia="ru-RU" w:bidi="ru-RU"/>
          <w:sz w:val="24"/>
          <w:szCs w:val="24"/>
          <w:w w:val="100"/>
          <w:spacing w:val="0"/>
          <w:color w:val="000000"/>
          <w:position w:val="0"/>
        </w:rPr>
        <w:t xml:space="preserve">Амурская, 296 Благовещенск, 675007 </w:t>
      </w:r>
      <w:r>
        <w:rPr>
          <w:lang w:val="en-US" w:eastAsia="en-US" w:bidi="en-US"/>
          <w:sz w:val="24"/>
          <w:szCs w:val="24"/>
          <w:w w:val="100"/>
          <w:spacing w:val="0"/>
          <w:color w:val="000000"/>
          <w:position w:val="0"/>
        </w:rPr>
        <w:t xml:space="preserve">e-mail: </w:t>
      </w:r>
      <w:r>
        <w:fldChar w:fldCharType="begin"/>
      </w:r>
      <w:r>
        <w:rPr>
          <w:color w:val="000000"/>
        </w:rPr>
        <w:instrText> HYPERLINK "mailto:gochs94fz@mail.ru" </w:instrText>
      </w:r>
      <w:r>
        <w:fldChar w:fldCharType="separate"/>
      </w:r>
      <w:r>
        <w:rPr>
          <w:rStyle w:val="Hyperlink"/>
          <w:lang w:val="en-US" w:eastAsia="en-US" w:bidi="en-US"/>
          <w:sz w:val="24"/>
          <w:szCs w:val="24"/>
          <w:w w:val="100"/>
          <w:spacing w:val="0"/>
          <w:position w:val="0"/>
        </w:rPr>
        <w:t>gochs94fz@mail.ru</w:t>
      </w:r>
      <w:r>
        <w:fldChar w:fldCharType="end"/>
      </w:r>
    </w:p>
    <w:p>
      <w:pPr>
        <w:pStyle w:val="Style19"/>
        <w:widowControl w:val="0"/>
        <w:keepNext w:val="0"/>
        <w:keepLines w:val="0"/>
        <w:shd w:val="clear" w:color="auto" w:fill="auto"/>
        <w:bidi w:val="0"/>
        <w:jc w:val="left"/>
        <w:spacing w:before="0" w:after="2" w:line="240" w:lineRule="exact"/>
        <w:ind w:left="20" w:right="0" w:firstLine="0"/>
      </w:pPr>
      <w:r>
        <w:rPr>
          <w:lang w:val="ru-RU" w:eastAsia="ru-RU" w:bidi="ru-RU"/>
          <w:sz w:val="24"/>
          <w:szCs w:val="24"/>
          <w:w w:val="100"/>
          <w:spacing w:val="0"/>
          <w:color w:val="000000"/>
          <w:position w:val="0"/>
        </w:rPr>
        <w:t>Уполномоченному органу:</w:t>
      </w:r>
    </w:p>
    <w:p>
      <w:pPr>
        <w:pStyle w:val="Style21"/>
        <w:widowControl w:val="0"/>
        <w:keepNext w:val="0"/>
        <w:keepLines w:val="0"/>
        <w:shd w:val="clear" w:color="auto" w:fill="auto"/>
        <w:bidi w:val="0"/>
        <w:jc w:val="left"/>
        <w:spacing w:before="0" w:after="261" w:line="240" w:lineRule="exact"/>
        <w:ind w:left="20" w:right="0" w:firstLine="0"/>
      </w:pPr>
      <w:r>
        <w:rPr>
          <w:lang w:val="ru-RU" w:eastAsia="ru-RU" w:bidi="ru-RU"/>
          <w:sz w:val="24"/>
          <w:szCs w:val="24"/>
          <w:w w:val="100"/>
          <w:spacing w:val="0"/>
          <w:color w:val="000000"/>
          <w:position w:val="0"/>
        </w:rPr>
        <w:t>Администрации города Благовещенска</w:t>
      </w:r>
    </w:p>
    <w:p>
      <w:pPr>
        <w:pStyle w:val="Style21"/>
        <w:widowControl w:val="0"/>
        <w:keepNext w:val="0"/>
        <w:keepLines w:val="0"/>
        <w:shd w:val="clear" w:color="auto" w:fill="auto"/>
        <w:bidi w:val="0"/>
        <w:jc w:val="left"/>
        <w:spacing w:before="0" w:after="0"/>
        <w:ind w:left="20" w:right="0" w:firstLine="0"/>
        <w:sectPr>
          <w:footnotePr>
            <w:pos w:val="pageBottom"/>
            <w:numFmt w:val="decimal"/>
            <w:numRestart w:val="continuous"/>
          </w:footnotePr>
          <w:type w:val="continuous"/>
          <w:pgSz w:w="11906" w:h="16838"/>
          <w:pgMar w:top="628" w:left="810" w:right="1146" w:bottom="220" w:header="0" w:footer="3" w:gutter="0"/>
          <w:rtlGutter w:val="0"/>
          <w:cols w:num="2" w:space="720" w:equalWidth="0">
            <w:col w:w="4306" w:space="691"/>
            <w:col w:w="4954"/>
          </w:cols>
          <w:noEndnote/>
          <w:docGrid w:linePitch="360"/>
        </w:sectPr>
      </w:pPr>
      <w:r>
        <w:rPr>
          <w:lang w:val="ru-RU" w:eastAsia="ru-RU" w:bidi="ru-RU"/>
          <w:sz w:val="24"/>
          <w:szCs w:val="24"/>
          <w:w w:val="100"/>
          <w:spacing w:val="0"/>
          <w:color w:val="000000"/>
          <w:position w:val="0"/>
        </w:rPr>
        <w:t xml:space="preserve">Ленина 108/2, к. 105 Благовещенск, 675000 </w:t>
      </w:r>
      <w:r>
        <w:rPr>
          <w:lang w:val="en-US" w:eastAsia="en-US" w:bidi="en-US"/>
          <w:sz w:val="24"/>
          <w:szCs w:val="24"/>
          <w:w w:val="100"/>
          <w:spacing w:val="0"/>
          <w:color w:val="000000"/>
          <w:position w:val="0"/>
        </w:rPr>
        <w:t xml:space="preserve">e-mail: </w:t>
      </w:r>
      <w:r>
        <w:fldChar w:fldCharType="begin"/>
      </w:r>
      <w:r>
        <w:rPr>
          <w:color w:val="000000"/>
        </w:rPr>
        <w:instrText> HYPERLINK "mailto:munzakaz@admblag.ru" </w:instrText>
      </w:r>
      <w:r>
        <w:fldChar w:fldCharType="separate"/>
      </w:r>
      <w:r>
        <w:rPr>
          <w:rStyle w:val="Hyperlink"/>
          <w:lang w:val="en-US" w:eastAsia="en-US" w:bidi="en-US"/>
          <w:sz w:val="24"/>
          <w:szCs w:val="24"/>
          <w:w w:val="100"/>
          <w:spacing w:val="0"/>
          <w:position w:val="0"/>
        </w:rPr>
        <w:t>munzakaz@admblag.ru</w:t>
      </w:r>
      <w:r>
        <w:fldChar w:fldCharType="end"/>
      </w:r>
    </w:p>
    <w:p>
      <w:pPr>
        <w:widowControl w:val="0"/>
        <w:spacing w:line="240" w:lineRule="exact"/>
        <w:rPr>
          <w:sz w:val="19"/>
          <w:szCs w:val="19"/>
        </w:rPr>
      </w:pPr>
    </w:p>
    <w:p>
      <w:pPr>
        <w:widowControl w:val="0"/>
        <w:spacing w:before="81" w:after="8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9"/>
        <w:widowControl w:val="0"/>
        <w:keepNext w:val="0"/>
        <w:keepLines w:val="0"/>
        <w:shd w:val="clear" w:color="auto" w:fill="auto"/>
        <w:bidi w:val="0"/>
        <w:jc w:val="left"/>
        <w:spacing w:before="0" w:after="0" w:line="240" w:lineRule="exact"/>
        <w:ind w:left="4560" w:right="0" w:firstLine="0"/>
      </w:pPr>
      <w:r>
        <w:rPr>
          <w:lang w:val="ru-RU" w:eastAsia="ru-RU" w:bidi="ru-RU"/>
          <w:sz w:val="24"/>
          <w:szCs w:val="24"/>
          <w:w w:val="100"/>
          <w:spacing w:val="0"/>
          <w:color w:val="000000"/>
          <w:position w:val="0"/>
        </w:rPr>
        <w:t>Заявителю:</w:t>
      </w:r>
    </w:p>
    <w:p>
      <w:pPr>
        <w:pStyle w:val="Style21"/>
        <w:widowControl w:val="0"/>
        <w:keepNext w:val="0"/>
        <w:keepLines w:val="0"/>
        <w:shd w:val="clear" w:color="auto" w:fill="auto"/>
        <w:bidi w:val="0"/>
        <w:jc w:val="left"/>
        <w:spacing w:before="0" w:after="236" w:line="293" w:lineRule="exact"/>
        <w:ind w:left="4560" w:right="1900" w:firstLine="0"/>
      </w:pPr>
      <w:r>
        <w:rPr>
          <w:lang w:val="ru-RU" w:eastAsia="ru-RU" w:bidi="ru-RU"/>
          <w:sz w:val="24"/>
          <w:szCs w:val="24"/>
          <w:w w:val="100"/>
          <w:spacing w:val="0"/>
          <w:color w:val="000000"/>
          <w:position w:val="0"/>
        </w:rPr>
        <w:t>Обществу с ограниченной ответственностью «Автомикс»</w:t>
      </w:r>
    </w:p>
    <w:p>
      <w:pPr>
        <w:pStyle w:val="Style21"/>
        <w:widowControl w:val="0"/>
        <w:keepNext w:val="0"/>
        <w:keepLines w:val="0"/>
        <w:shd w:val="clear" w:color="auto" w:fill="auto"/>
        <w:bidi w:val="0"/>
        <w:jc w:val="left"/>
        <w:spacing w:before="0" w:after="240"/>
        <w:ind w:left="4560" w:right="1900" w:firstLine="0"/>
      </w:pPr>
      <w:r>
        <w:rPr>
          <w:lang w:val="ru-RU" w:eastAsia="ru-RU" w:bidi="ru-RU"/>
          <w:sz w:val="24"/>
          <w:szCs w:val="24"/>
          <w:w w:val="100"/>
          <w:spacing w:val="0"/>
          <w:color w:val="000000"/>
          <w:position w:val="0"/>
        </w:rPr>
        <w:t xml:space="preserve">Комсомольская, 7 Благовещенск, 675000 </w:t>
      </w:r>
      <w:r>
        <w:rPr>
          <w:lang w:val="en-US" w:eastAsia="en-US" w:bidi="en-US"/>
          <w:sz w:val="24"/>
          <w:szCs w:val="24"/>
          <w:w w:val="100"/>
          <w:spacing w:val="0"/>
          <w:color w:val="000000"/>
          <w:position w:val="0"/>
        </w:rPr>
        <w:t xml:space="preserve">e-mail: </w:t>
      </w:r>
      <w:r>
        <w:fldChar w:fldCharType="begin"/>
      </w:r>
      <w:r>
        <w:rPr>
          <w:color w:val="000000"/>
        </w:rPr>
        <w:instrText> HYPERLINK "mailto:vostok-blag@mail.ru" </w:instrText>
      </w:r>
      <w:r>
        <w:fldChar w:fldCharType="separate"/>
      </w:r>
      <w:r>
        <w:rPr>
          <w:rStyle w:val="Hyperlink"/>
          <w:lang w:val="en-US" w:eastAsia="en-US" w:bidi="en-US"/>
          <w:sz w:val="24"/>
          <w:szCs w:val="24"/>
          <w:w w:val="100"/>
          <w:spacing w:val="0"/>
          <w:position w:val="0"/>
        </w:rPr>
        <w:t>vostok-blag@mail.ru</w:t>
      </w:r>
      <w:r>
        <w:fldChar w:fldCharType="end"/>
      </w:r>
    </w:p>
    <w:p>
      <w:pPr>
        <w:pStyle w:val="Style19"/>
        <w:widowControl w:val="0"/>
        <w:keepNext w:val="0"/>
        <w:keepLines w:val="0"/>
        <w:shd w:val="clear" w:color="auto" w:fill="auto"/>
        <w:bidi w:val="0"/>
        <w:jc w:val="center"/>
        <w:spacing w:before="0" w:after="240" w:line="298" w:lineRule="exact"/>
        <w:ind w:left="400" w:right="0" w:firstLine="0"/>
      </w:pPr>
      <w:r>
        <w:rPr>
          <w:lang w:val="ru-RU" w:eastAsia="ru-RU" w:bidi="ru-RU"/>
          <w:sz w:val="24"/>
          <w:szCs w:val="24"/>
          <w:w w:val="100"/>
          <w:spacing w:val="0"/>
          <w:color w:val="000000"/>
          <w:position w:val="0"/>
        </w:rPr>
        <w:t>РЕШЕНИЕ по делу № 028/06/105-657/2021</w:t>
      </w:r>
    </w:p>
    <w:p>
      <w:pPr>
        <w:pStyle w:val="Style21"/>
        <w:numPr>
          <w:ilvl w:val="0"/>
          <w:numId w:val="1"/>
        </w:numPr>
        <w:tabs>
          <w:tab w:leader="none" w:pos="7762" w:val="right"/>
          <w:tab w:leader="none" w:pos="9414" w:val="right"/>
        </w:tabs>
        <w:widowControl w:val="0"/>
        <w:keepNext w:val="0"/>
        <w:keepLines w:val="0"/>
        <w:shd w:val="clear" w:color="auto" w:fill="auto"/>
        <w:bidi w:val="0"/>
        <w:jc w:val="both"/>
        <w:spacing w:before="0" w:after="0"/>
        <w:ind w:left="20" w:right="0" w:firstLine="0"/>
      </w:pPr>
      <w:r>
        <w:rPr>
          <w:lang w:val="ru-RU" w:eastAsia="ru-RU" w:bidi="ru-RU"/>
          <w:sz w:val="24"/>
          <w:szCs w:val="24"/>
          <w:w w:val="100"/>
          <w:spacing w:val="0"/>
          <w:color w:val="000000"/>
          <w:position w:val="0"/>
        </w:rPr>
        <w:t>г.</w:t>
        <w:tab/>
        <w:t>Благовещенск</w:t>
      </w:r>
    </w:p>
    <w:p>
      <w:pPr>
        <w:pStyle w:val="Style21"/>
        <w:widowControl w:val="0"/>
        <w:keepNext w:val="0"/>
        <w:keepLines w:val="0"/>
        <w:shd w:val="clear" w:color="auto" w:fill="auto"/>
        <w:bidi w:val="0"/>
        <w:jc w:val="both"/>
        <w:spacing w:before="0" w:after="240"/>
        <w:ind w:left="20" w:right="0" w:firstLine="0"/>
      </w:pPr>
      <w:r>
        <w:rPr>
          <w:lang w:val="ru-RU" w:eastAsia="ru-RU" w:bidi="ru-RU"/>
          <w:sz w:val="24"/>
          <w:szCs w:val="24"/>
          <w:w w:val="100"/>
          <w:spacing w:val="0"/>
          <w:color w:val="000000"/>
          <w:position w:val="0"/>
        </w:rPr>
        <w:t>(решение в полном объеме изготовлено 29.10.2021)</w:t>
      </w:r>
    </w:p>
    <w:p>
      <w:pPr>
        <w:pStyle w:val="Style21"/>
        <w:widowControl w:val="0"/>
        <w:keepNext w:val="0"/>
        <w:keepLines w:val="0"/>
        <w:shd w:val="clear" w:color="auto" w:fill="auto"/>
        <w:bidi w:val="0"/>
        <w:jc w:val="both"/>
        <w:spacing w:before="0" w:after="0"/>
        <w:ind w:left="20" w:right="420" w:firstLine="720"/>
      </w:pPr>
      <w:r>
        <w:rPr>
          <w:lang w:val="ru-RU" w:eastAsia="ru-RU" w:bidi="ru-RU"/>
          <w:sz w:val="24"/>
          <w:szCs w:val="24"/>
          <w:w w:val="100"/>
          <w:spacing w:val="0"/>
          <w:color w:val="000000"/>
          <w:position w:val="0"/>
        </w:rPr>
        <w:t>Комиссия управления Федеральной антимонопольной службы по Амурской области (далее - Амурское У ФАС России) по контролю в сфере закупок в составе: Горячевой Н.В. - заместителя руководителя управления, председателя Комиссии, Парнищевой М.М. - начальника отдела контроля закупок; Стрелковой Е.В. - главного специалиста-эксперта указанного отдела,</w:t>
      </w:r>
    </w:p>
    <w:p>
      <w:pPr>
        <w:pStyle w:val="Style21"/>
        <w:tabs>
          <w:tab w:leader="none" w:pos="5122" w:val="left"/>
        </w:tabs>
        <w:widowControl w:val="0"/>
        <w:keepNext w:val="0"/>
        <w:keepLines w:val="0"/>
        <w:shd w:val="clear" w:color="auto" w:fill="auto"/>
        <w:bidi w:val="0"/>
        <w:jc w:val="both"/>
        <w:spacing w:before="0" w:after="0"/>
        <w:ind w:left="20" w:right="0" w:firstLine="720"/>
      </w:pPr>
      <w:r>
        <w:rPr>
          <w:lang w:val="ru-RU" w:eastAsia="ru-RU" w:bidi="ru-RU"/>
          <w:sz w:val="24"/>
          <w:szCs w:val="24"/>
          <w:w w:val="100"/>
          <w:spacing w:val="0"/>
          <w:color w:val="000000"/>
          <w:position w:val="0"/>
        </w:rPr>
        <w:t>в присутствии представителей:</w:t>
        <w:tab/>
        <w:t>от муниципального заказчика -</w:t>
      </w:r>
    </w:p>
    <w:p>
      <w:pPr>
        <w:pStyle w:val="Style21"/>
        <w:widowControl w:val="0"/>
        <w:keepNext w:val="0"/>
        <w:keepLines w:val="0"/>
        <w:shd w:val="clear" w:color="auto" w:fill="auto"/>
        <w:bidi w:val="0"/>
        <w:jc w:val="both"/>
        <w:spacing w:before="0" w:after="0"/>
        <w:ind w:left="20" w:right="420" w:firstLine="0"/>
      </w:pPr>
      <w:r>
        <w:rPr>
          <w:lang w:val="ru-RU" w:eastAsia="ru-RU" w:bidi="ru-RU"/>
          <w:sz w:val="24"/>
          <w:szCs w:val="24"/>
          <w:w w:val="100"/>
          <w:spacing w:val="0"/>
          <w:color w:val="000000"/>
          <w:position w:val="0"/>
        </w:rPr>
        <w:t>муниципального казенного учреждения «Управление по делам гражданской обороны и чрезвычайным ситуациям города Благовещенска» (далее - Заказчик) Гончаровой Е.А., действующей по доверенности от 25.10.2021 № б/н; от уполномоченного органа - Администрации города Благовещенска (далее - Уполномоченный орган) Лизуновой Е.В., действующей по доверенности от</w:t>
      </w:r>
    </w:p>
    <w:p>
      <w:pPr>
        <w:pStyle w:val="Style21"/>
        <w:numPr>
          <w:ilvl w:val="0"/>
          <w:numId w:val="3"/>
        </w:numPr>
        <w:tabs>
          <w:tab w:leader="none" w:pos="1498" w:val="left"/>
          <w:tab w:leader="none" w:pos="2089" w:val="left"/>
        </w:tabs>
        <w:widowControl w:val="0"/>
        <w:keepNext w:val="0"/>
        <w:keepLines w:val="0"/>
        <w:shd w:val="clear" w:color="auto" w:fill="auto"/>
        <w:bidi w:val="0"/>
        <w:jc w:val="both"/>
        <w:spacing w:before="0" w:after="0"/>
        <w:ind w:left="20" w:right="0" w:firstLine="0"/>
      </w:pPr>
      <w:r>
        <w:rPr>
          <w:lang w:val="ru-RU" w:eastAsia="ru-RU" w:bidi="ru-RU"/>
          <w:sz w:val="24"/>
          <w:szCs w:val="24"/>
          <w:w w:val="100"/>
          <w:spacing w:val="0"/>
          <w:color w:val="000000"/>
          <w:position w:val="0"/>
        </w:rPr>
        <w:t>№</w:t>
        <w:tab/>
        <w:t xml:space="preserve">01-26/333 (посредством плагина </w:t>
      </w:r>
      <w:r>
        <w:rPr>
          <w:lang w:val="en-US" w:eastAsia="en-US" w:bidi="en-US"/>
          <w:sz w:val="24"/>
          <w:szCs w:val="24"/>
          <w:w w:val="100"/>
          <w:spacing w:val="0"/>
          <w:color w:val="000000"/>
          <w:position w:val="0"/>
        </w:rPr>
        <w:t xml:space="preserve">«TrueConf» </w:t>
      </w:r>
      <w:r>
        <w:rPr>
          <w:lang w:val="ru-RU" w:eastAsia="ru-RU" w:bidi="ru-RU"/>
          <w:sz w:val="24"/>
          <w:szCs w:val="24"/>
          <w:w w:val="100"/>
          <w:spacing w:val="0"/>
          <w:color w:val="000000"/>
          <w:position w:val="0"/>
        </w:rPr>
        <w:t>в режиме</w:t>
      </w:r>
    </w:p>
    <w:p>
      <w:pPr>
        <w:pStyle w:val="Style21"/>
        <w:widowControl w:val="0"/>
        <w:keepNext w:val="0"/>
        <w:keepLines w:val="0"/>
        <w:shd w:val="clear" w:color="auto" w:fill="auto"/>
        <w:bidi w:val="0"/>
        <w:jc w:val="both"/>
        <w:spacing w:before="0" w:after="570"/>
        <w:ind w:left="20" w:right="420" w:firstLine="0"/>
      </w:pPr>
      <w:r>
        <w:rPr>
          <w:lang w:val="ru-RU" w:eastAsia="ru-RU" w:bidi="ru-RU"/>
          <w:sz w:val="24"/>
          <w:szCs w:val="24"/>
          <w:w w:val="100"/>
          <w:spacing w:val="0"/>
          <w:color w:val="000000"/>
          <w:position w:val="0"/>
        </w:rPr>
        <w:t>видеоконференцсвязи); от заявителя — общества с ограниченной ответственностью «Автомикс» (далее - ООО «Автомикс») Жарикова Е.В., действующего на основании прав по должности директора (лично) (сторонам по делу разъяснены права, порядок</w:t>
      </w:r>
    </w:p>
    <w:p>
      <w:pPr>
        <w:pStyle w:val="Style23"/>
        <w:widowControl w:val="0"/>
        <w:keepNext w:val="0"/>
        <w:keepLines w:val="0"/>
        <w:shd w:val="clear" w:color="auto" w:fill="auto"/>
        <w:bidi w:val="0"/>
        <w:spacing w:before="0" w:after="0" w:line="260" w:lineRule="exact"/>
        <w:ind w:left="0" w:right="220" w:firstLine="0"/>
      </w:pPr>
      <w:r>
        <w:rPr>
          <w:lang w:val="ru-RU" w:eastAsia="ru-RU" w:bidi="ru-RU"/>
          <w:w w:val="100"/>
          <w:spacing w:val="0"/>
          <w:color w:val="000000"/>
          <w:position w:val="0"/>
        </w:rPr>
        <w:t>088387</w:t>
      </w:r>
      <w:r>
        <w:rPr>
          <w:rStyle w:val="CharStyle25"/>
          <w:b w:val="0"/>
          <w:bCs w:val="0"/>
        </w:rPr>
        <w:t xml:space="preserve"> </w:t>
      </w:r>
      <w:r>
        <w:rPr>
          <w:rStyle w:val="CharStyle26"/>
          <w:b w:val="0"/>
          <w:bCs w:val="0"/>
        </w:rPr>
        <w:t>afe</w:t>
      </w:r>
      <w:r>
        <w:br w:type="page"/>
      </w:r>
    </w:p>
    <w:p>
      <w:pPr>
        <w:pStyle w:val="Style21"/>
        <w:widowControl w:val="0"/>
        <w:keepNext w:val="0"/>
        <w:keepLines w:val="0"/>
        <w:shd w:val="clear" w:color="auto" w:fill="auto"/>
        <w:bidi w:val="0"/>
        <w:jc w:val="both"/>
        <w:spacing w:before="0" w:after="0"/>
        <w:ind w:left="60" w:right="40" w:firstLine="0"/>
      </w:pPr>
      <w:r>
        <w:rPr>
          <w:lang w:val="ru-RU" w:eastAsia="ru-RU" w:bidi="ru-RU"/>
          <w:sz w:val="24"/>
          <w:szCs w:val="24"/>
          <w:w w:val="100"/>
          <w:spacing w:val="0"/>
          <w:color w:val="000000"/>
          <w:position w:val="0"/>
        </w:rPr>
        <w:t>рассмотрения дела, сообщено о ведении аудио- и видеозаписи заседания Комиссии Амурского У ФАС России),</w:t>
      </w:r>
    </w:p>
    <w:p>
      <w:pPr>
        <w:pStyle w:val="Style21"/>
        <w:widowControl w:val="0"/>
        <w:keepNext w:val="0"/>
        <w:keepLines w:val="0"/>
        <w:shd w:val="clear" w:color="auto" w:fill="auto"/>
        <w:bidi w:val="0"/>
        <w:jc w:val="both"/>
        <w:spacing w:before="0" w:after="0"/>
        <w:ind w:left="60" w:right="40" w:firstLine="700"/>
      </w:pPr>
      <w:r>
        <w:rPr>
          <w:lang w:val="ru-RU" w:eastAsia="ru-RU" w:bidi="ru-RU"/>
          <w:sz w:val="24"/>
          <w:szCs w:val="24"/>
          <w:w w:val="100"/>
          <w:spacing w:val="0"/>
          <w:color w:val="000000"/>
          <w:position w:val="0"/>
        </w:rPr>
        <w:t>рассмотрела поступившую 19.10.2021 в Амурское У ФАС России жалобу ООО «Автомикс» на действия аукционной комиссии Заказчика и Уполномоченного органа при осуществлении закупки в форме аукциона в электронной форме на выполнение работ по замене аварийных труб водоснабжения и санитарно</w:t>
        <w:softHyphen/>
        <w:t xml:space="preserve">технических приборов по адресу: Амурская обл., г. Благовещенск, ул. Амурская, д. 296, объявленной извещением от 01.10.2021 № 0123300008221000446 на электронной площадке ООО «РТС-тендер» </w:t>
      </w:r>
      <w:r>
        <w:fldChar w:fldCharType="begin"/>
      </w:r>
      <w:r>
        <w:rPr>
          <w:color w:val="000000"/>
        </w:rPr>
        <w:instrText> HYPERLINK "http://www.rts-tender.ru" </w:instrText>
      </w:r>
      <w:r>
        <w:fldChar w:fldCharType="separate"/>
      </w:r>
      <w:r>
        <w:rPr>
          <w:rStyle w:val="Hyperlink"/>
          <w:lang w:val="en-US" w:eastAsia="en-US" w:bidi="en-US"/>
          <w:sz w:val="24"/>
          <w:szCs w:val="24"/>
          <w:w w:val="100"/>
          <w:spacing w:val="0"/>
          <w:position w:val="0"/>
        </w:rPr>
        <w:t>www.rts-tender.ru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выразившиеся, по мнению заявителя, в нарушении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 именно: признании заявки ООО «Автомикс» не соответствующей требованиям документации.</w:t>
      </w:r>
    </w:p>
    <w:p>
      <w:pPr>
        <w:pStyle w:val="Style21"/>
        <w:numPr>
          <w:ilvl w:val="0"/>
          <w:numId w:val="5"/>
        </w:numPr>
        <w:widowControl w:val="0"/>
        <w:keepNext w:val="0"/>
        <w:keepLines w:val="0"/>
        <w:shd w:val="clear" w:color="auto" w:fill="auto"/>
        <w:bidi w:val="0"/>
        <w:jc w:val="both"/>
        <w:spacing w:before="0" w:after="0"/>
        <w:ind w:left="60" w:right="40" w:firstLine="700"/>
      </w:pPr>
      <w:r>
        <w:rPr>
          <w:lang w:val="ru-RU" w:eastAsia="ru-RU" w:bidi="ru-RU"/>
          <w:sz w:val="24"/>
          <w:szCs w:val="24"/>
          <w:w w:val="100"/>
          <w:spacing w:val="0"/>
          <w:color w:val="000000"/>
          <w:position w:val="0"/>
        </w:rPr>
        <w:t xml:space="preserve"> на заседании Комиссии Амурского У ФАС России представитель заявителя поддержал доводы жалобы, указал, что считает, что заявка общества необоснованно отклонена. Представители Заказчика и У по лномоченного органа с доводами жалобы не согласились по основаниям, изложенным в письменных пояснениях, представленных в антимонопольный орган. Указали, что заявка ООО «Автомикс» отклонена ввиду непредставления в её составе устава в актуальной на момент подачи заявки редакции. Просили признать жалобу необоснованной.</w:t>
      </w:r>
    </w:p>
    <w:p>
      <w:pPr>
        <w:pStyle w:val="Style21"/>
        <w:widowControl w:val="0"/>
        <w:keepNext w:val="0"/>
        <w:keepLines w:val="0"/>
        <w:shd w:val="clear" w:color="auto" w:fill="auto"/>
        <w:bidi w:val="0"/>
        <w:jc w:val="both"/>
        <w:spacing w:before="0" w:after="286"/>
        <w:ind w:left="60" w:right="40" w:firstLine="700"/>
      </w:pPr>
      <w:r>
        <w:rPr>
          <w:lang w:val="ru-RU" w:eastAsia="ru-RU" w:bidi="ru-RU"/>
          <w:sz w:val="24"/>
          <w:szCs w:val="24"/>
          <w:w w:val="100"/>
          <w:spacing w:val="0"/>
          <w:color w:val="000000"/>
          <w:position w:val="0"/>
        </w:rPr>
        <w:t>Комиссия Амурского У ФАС России, заслушав представителей заявителя, Заказчика и Уполномоченного органа, рассмотрев жалобу и исследовав материалы дела,</w:t>
      </w:r>
    </w:p>
    <w:p>
      <w:pPr>
        <w:pStyle w:val="Style21"/>
        <w:widowControl w:val="0"/>
        <w:keepNext w:val="0"/>
        <w:keepLines w:val="0"/>
        <w:shd w:val="clear" w:color="auto" w:fill="auto"/>
        <w:bidi w:val="0"/>
        <w:jc w:val="center"/>
        <w:spacing w:before="0" w:after="271" w:line="240" w:lineRule="exact"/>
        <w:ind w:left="0" w:right="20" w:firstLine="0"/>
      </w:pPr>
      <w:r>
        <w:rPr>
          <w:lang w:val="ru-RU" w:eastAsia="ru-RU" w:bidi="ru-RU"/>
          <w:sz w:val="24"/>
          <w:szCs w:val="24"/>
          <w:w w:val="100"/>
          <w:spacing w:val="0"/>
          <w:color w:val="000000"/>
          <w:position w:val="0"/>
        </w:rPr>
        <w:t>УСТАНОВИЛА:</w:t>
      </w:r>
    </w:p>
    <w:p>
      <w:pPr>
        <w:pStyle w:val="Style21"/>
        <w:numPr>
          <w:ilvl w:val="0"/>
          <w:numId w:val="7"/>
        </w:numPr>
        <w:widowControl w:val="0"/>
        <w:keepNext w:val="0"/>
        <w:keepLines w:val="0"/>
        <w:shd w:val="clear" w:color="auto" w:fill="auto"/>
        <w:bidi w:val="0"/>
        <w:jc w:val="both"/>
        <w:spacing w:before="0" w:after="0"/>
        <w:ind w:left="60" w:right="40" w:firstLine="700"/>
      </w:pPr>
      <w:r>
        <w:rPr>
          <w:lang w:val="ru-RU" w:eastAsia="ru-RU" w:bidi="ru-RU"/>
          <w:sz w:val="24"/>
          <w:szCs w:val="24"/>
          <w:w w:val="100"/>
          <w:spacing w:val="0"/>
          <w:color w:val="000000"/>
          <w:position w:val="0"/>
        </w:rPr>
        <w:t xml:space="preserve"> Уполномоченным органом в соответствии с заявкой Заказчика на официальном сайте Единой информационной системы в сфере закупок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 xml:space="preserve">и на электронной площадке ООО «РТС-тендер» </w:t>
      </w:r>
      <w:r>
        <w:rPr>
          <w:lang w:val="en-US" w:eastAsia="en-US" w:bidi="en-US"/>
          <w:sz w:val="24"/>
          <w:szCs w:val="24"/>
          <w:w w:val="100"/>
          <w:spacing w:val="0"/>
          <w:color w:val="000000"/>
          <w:position w:val="0"/>
        </w:rPr>
        <w:t xml:space="preserve">www.rts- tender.ru </w:t>
      </w:r>
      <w:r>
        <w:rPr>
          <w:lang w:val="ru-RU" w:eastAsia="ru-RU" w:bidi="ru-RU"/>
          <w:sz w:val="24"/>
          <w:szCs w:val="24"/>
          <w:w w:val="100"/>
          <w:spacing w:val="0"/>
          <w:color w:val="000000"/>
          <w:position w:val="0"/>
        </w:rPr>
        <w:t>размещено извещение № 0123300008221000446 о проведении закупки способом открытого аукциона в электронной форме на право заключения государственного контракта на выполнение работ по замене аварийных труб водоснабжения и санитарно- технических приборов по адресу: Амурская обл., г. Благовещенск, ул. Амурская, д. 296.</w:t>
      </w:r>
    </w:p>
    <w:p>
      <w:pPr>
        <w:pStyle w:val="Style21"/>
        <w:widowControl w:val="0"/>
        <w:keepNext w:val="0"/>
        <w:keepLines w:val="0"/>
        <w:shd w:val="clear" w:color="auto" w:fill="auto"/>
        <w:bidi w:val="0"/>
        <w:jc w:val="both"/>
        <w:spacing w:before="0" w:after="0"/>
        <w:ind w:left="60" w:right="0" w:firstLine="700"/>
      </w:pPr>
      <w:r>
        <w:rPr>
          <w:lang w:val="ru-RU" w:eastAsia="ru-RU" w:bidi="ru-RU"/>
          <w:sz w:val="24"/>
          <w:szCs w:val="24"/>
          <w:w w:val="100"/>
          <w:spacing w:val="0"/>
          <w:color w:val="000000"/>
          <w:position w:val="0"/>
        </w:rPr>
        <w:t>Начальная (максимальная) цена контракта - 599 993,00 рублей.</w:t>
      </w:r>
    </w:p>
    <w:p>
      <w:pPr>
        <w:pStyle w:val="Style21"/>
        <w:widowControl w:val="0"/>
        <w:keepNext w:val="0"/>
        <w:keepLines w:val="0"/>
        <w:shd w:val="clear" w:color="auto" w:fill="auto"/>
        <w:bidi w:val="0"/>
        <w:jc w:val="left"/>
        <w:spacing w:before="0" w:after="0"/>
        <w:ind w:left="60" w:right="40" w:firstLine="700"/>
      </w:pPr>
      <w:r>
        <w:rPr>
          <w:lang w:val="ru-RU" w:eastAsia="ru-RU" w:bidi="ru-RU"/>
          <w:sz w:val="24"/>
          <w:szCs w:val="24"/>
          <w:w w:val="100"/>
          <w:spacing w:val="0"/>
          <w:color w:val="000000"/>
          <w:position w:val="0"/>
        </w:rPr>
        <w:t>Дата и время начала срока подачи заявок - 01.10.2021 в 15:05. Дата и время окончания срока подачи заявок на участие в электронном аукционе - 11.10.2021 в 09:00. Дата окончания срока рассмотрения заявок на участие в электронном аукционе - 12.10.2021. Дата проведения аукциона в электронной форме 13.10,2021. Время проведения аукциона - 09:25.</w:t>
      </w:r>
    </w:p>
    <w:p>
      <w:pPr>
        <w:pStyle w:val="Style21"/>
        <w:widowControl w:val="0"/>
        <w:keepNext w:val="0"/>
        <w:keepLines w:val="0"/>
        <w:shd w:val="clear" w:color="auto" w:fill="auto"/>
        <w:bidi w:val="0"/>
        <w:jc w:val="both"/>
        <w:spacing w:before="0" w:after="0"/>
        <w:ind w:left="60" w:right="40" w:firstLine="700"/>
      </w:pPr>
      <w:r>
        <w:rPr>
          <w:lang w:val="ru-RU" w:eastAsia="ru-RU" w:bidi="ru-RU"/>
          <w:sz w:val="24"/>
          <w:szCs w:val="24"/>
          <w:w w:val="100"/>
          <w:spacing w:val="0"/>
          <w:color w:val="000000"/>
          <w:position w:val="0"/>
        </w:rPr>
        <w:t>Изменения в аукционную документацию Заказчиком не вносились; запросы о разъяснении положений документации об электронном аукционе не поступали.</w:t>
      </w:r>
    </w:p>
    <w:p>
      <w:pPr>
        <w:pStyle w:val="Style21"/>
        <w:widowControl w:val="0"/>
        <w:keepNext w:val="0"/>
        <w:keepLines w:val="0"/>
        <w:shd w:val="clear" w:color="auto" w:fill="auto"/>
        <w:bidi w:val="0"/>
        <w:jc w:val="both"/>
        <w:spacing w:before="0" w:after="0"/>
        <w:ind w:left="60" w:right="40" w:firstLine="700"/>
      </w:pPr>
      <w:r>
        <w:rPr>
          <w:lang w:val="ru-RU" w:eastAsia="ru-RU" w:bidi="ru-RU"/>
          <w:sz w:val="24"/>
          <w:szCs w:val="24"/>
          <w:w w:val="100"/>
          <w:spacing w:val="0"/>
          <w:color w:val="000000"/>
          <w:position w:val="0"/>
        </w:rPr>
        <w:t>Как следует из протокола рассмотрения заявок на участие в электронном аукционе от 12.10.2021 № № 0123300008221000446 на участие в аукционе поступили первые части четырех заявок, которые признаны аукционной комиссией соответствующими требованиям документации об электронном аукционе и допущены к участию в электронном аукционе.</w:t>
      </w:r>
    </w:p>
    <w:p>
      <w:pPr>
        <w:pStyle w:val="Style21"/>
        <w:tabs>
          <w:tab w:leader="none" w:pos="4686" w:val="center"/>
          <w:tab w:leader="none" w:pos="9465" w:val="right"/>
        </w:tabs>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Согласно протоколу подведения итогов электронного аукциона от 15.10.2021 № 0123300008221000446 аукционная комиссия на основании рассмотрения вторых частей заявок на участие в электронном аукционе, на предмет соответствия требованиям аукционной документации, приняла решение признать участника, подавшего заявку с идентификационным номером 110623838 (ООО «Автомикс») на основании пункта 1 части 6 статьи 69 Закона о контрактной системе не соответствующим требованиям, установленным документацией, по следующим основаниям: непредставление документов и информации, которые предусмотрены пункта 1 части 11 статьи 24.1 Закона о контрактной системе, а именно: участник закупки не представил копию учредительных документов (в соответствии с частью 3 статьи 89 ГК РФ учредительным документом общества с ограниченной ответственностью является его</w:t>
        <w:tab/>
        <w:t>устав).</w:t>
        <w:tab/>
        <w:t>Согласно выписке из ЕГРЮЛ</w:t>
      </w:r>
    </w:p>
    <w:p>
      <w:pPr>
        <w:pStyle w:val="Style21"/>
        <w:widowControl w:val="0"/>
        <w:keepNext w:val="0"/>
        <w:keepLines w:val="0"/>
        <w:shd w:val="clear" w:color="auto" w:fill="auto"/>
        <w:bidi w:val="0"/>
        <w:jc w:val="both"/>
        <w:spacing w:before="0" w:after="0"/>
        <w:ind w:left="20" w:right="40" w:firstLine="0"/>
      </w:pPr>
      <w:r>
        <w:rPr>
          <w:lang w:val="ru-RU" w:eastAsia="ru-RU" w:bidi="ru-RU"/>
          <w:sz w:val="24"/>
          <w:szCs w:val="24"/>
          <w:w w:val="100"/>
          <w:spacing w:val="0"/>
          <w:color w:val="000000"/>
          <w:position w:val="0"/>
        </w:rPr>
        <w:t xml:space="preserve">представленной участником закупки от 08.10.2020 и в соответствии с выпиской ЕГРЮЛ размещенной на официальном сайте Федеральной налоговой службы </w:t>
      </w:r>
      <w:r>
        <w:fldChar w:fldCharType="begin"/>
      </w:r>
      <w:r>
        <w:rPr>
          <w:color w:val="000000"/>
        </w:rPr>
        <w:instrText> HYPERLINK "https://egrul.nalog.ru" </w:instrText>
      </w:r>
      <w:r>
        <w:fldChar w:fldCharType="separate"/>
      </w:r>
      <w:r>
        <w:rPr>
          <w:rStyle w:val="Hyperlink"/>
          <w:lang w:val="en-US" w:eastAsia="en-US" w:bidi="en-US"/>
          <w:sz w:val="24"/>
          <w:szCs w:val="24"/>
          <w:w w:val="100"/>
          <w:spacing w:val="0"/>
          <w:position w:val="0"/>
        </w:rPr>
        <w:t>https</w:t>
      </w:r>
      <w:r>
        <w:rPr>
          <w:rStyle w:val="Hyperlink"/>
          <w:lang w:val="ru-RU" w:eastAsia="ru-RU" w:bidi="ru-RU"/>
          <w:sz w:val="24"/>
          <w:szCs w:val="24"/>
          <w:w w:val="100"/>
          <w:spacing w:val="0"/>
          <w:position w:val="0"/>
        </w:rPr>
        <w:t>://</w:t>
      </w:r>
      <w:r>
        <w:rPr>
          <w:rStyle w:val="Hyperlink"/>
          <w:lang w:val="en-US" w:eastAsia="en-US" w:bidi="en-US"/>
          <w:sz w:val="24"/>
          <w:szCs w:val="24"/>
          <w:w w:val="100"/>
          <w:spacing w:val="0"/>
          <w:position w:val="0"/>
        </w:rPr>
        <w:t>egrul.nalog.ru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на 14.10.2021, в устав участника закупки внесены изменения 17.05.2017, данные изменения не представлены в составе заявки.</w:t>
      </w:r>
    </w:p>
    <w:p>
      <w:pPr>
        <w:pStyle w:val="Style21"/>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Комиссия Амурского У ФАС России, исследовав материалы дела, приходит к следующим выводам.</w:t>
      </w:r>
    </w:p>
    <w:p>
      <w:pPr>
        <w:pStyle w:val="Style21"/>
        <w:tabs>
          <w:tab w:leader="none" w:pos="4686" w:val="center"/>
          <w:tab w:leader="none" w:pos="9465" w:val="right"/>
        </w:tabs>
        <w:widowControl w:val="0"/>
        <w:keepNext w:val="0"/>
        <w:keepLines w:val="0"/>
        <w:shd w:val="clear" w:color="auto" w:fill="auto"/>
        <w:bidi w:val="0"/>
        <w:jc w:val="both"/>
        <w:spacing w:before="0" w:after="0"/>
        <w:ind w:left="20" w:right="0" w:firstLine="720"/>
      </w:pPr>
      <w:r>
        <w:rPr>
          <w:lang w:val="ru-RU" w:eastAsia="ru-RU" w:bidi="ru-RU"/>
          <w:sz w:val="24"/>
          <w:szCs w:val="24"/>
          <w:w w:val="100"/>
          <w:spacing w:val="0"/>
          <w:color w:val="000000"/>
          <w:position w:val="0"/>
        </w:rPr>
        <w:t>Отношения, направленные</w:t>
        <w:tab/>
        <w:t>на</w:t>
        <w:tab/>
        <w:t>обеспечение государственных и</w:t>
      </w:r>
    </w:p>
    <w:p>
      <w:pPr>
        <w:pStyle w:val="Style21"/>
        <w:tabs>
          <w:tab w:leader="none" w:pos="4686" w:val="center"/>
          <w:tab w:leader="none" w:pos="9465" w:val="right"/>
        </w:tabs>
        <w:widowControl w:val="0"/>
        <w:keepNext w:val="0"/>
        <w:keepLines w:val="0"/>
        <w:shd w:val="clear" w:color="auto" w:fill="auto"/>
        <w:bidi w:val="0"/>
        <w:jc w:val="both"/>
        <w:spacing w:before="0" w:after="0"/>
        <w:ind w:left="20" w:right="40" w:firstLine="0"/>
      </w:pPr>
      <w:r>
        <w:rPr>
          <w:lang w:val="ru-RU" w:eastAsia="ru-RU" w:bidi="ru-RU"/>
          <w:sz w:val="24"/>
          <w:szCs w:val="24"/>
          <w:w w:val="100"/>
          <w:spacing w:val="0"/>
          <w:color w:val="000000"/>
          <w:position w:val="0"/>
        </w:rPr>
        <w:t>муниципальных нужд в целях повышения эффективности, результативности осуществления закупок товаров,</w:t>
        <w:tab/>
        <w:t>работ,</w:t>
        <w:tab/>
        <w:t>услуг, обеспечения гласности и</w:t>
      </w:r>
    </w:p>
    <w:p>
      <w:pPr>
        <w:pStyle w:val="Style21"/>
        <w:tabs>
          <w:tab w:leader="none" w:pos="9465" w:val="right"/>
        </w:tabs>
        <w:widowControl w:val="0"/>
        <w:keepNext w:val="0"/>
        <w:keepLines w:val="0"/>
        <w:shd w:val="clear" w:color="auto" w:fill="auto"/>
        <w:bidi w:val="0"/>
        <w:jc w:val="both"/>
        <w:spacing w:before="0" w:after="0"/>
        <w:ind w:left="20" w:right="0" w:firstLine="0"/>
      </w:pPr>
      <w:r>
        <w:rPr>
          <w:lang w:val="ru-RU" w:eastAsia="ru-RU" w:bidi="ru-RU"/>
          <w:sz w:val="24"/>
          <w:szCs w:val="24"/>
          <w:w w:val="100"/>
          <w:spacing w:val="0"/>
          <w:color w:val="000000"/>
          <w:position w:val="0"/>
        </w:rPr>
        <w:t>прозрачности осуществления таких закупок,</w:t>
        <w:tab/>
        <w:t>предотвращения коррупции и других</w:t>
      </w:r>
    </w:p>
    <w:p>
      <w:pPr>
        <w:pStyle w:val="Style21"/>
        <w:widowControl w:val="0"/>
        <w:keepNext w:val="0"/>
        <w:keepLines w:val="0"/>
        <w:shd w:val="clear" w:color="auto" w:fill="auto"/>
        <w:bidi w:val="0"/>
        <w:jc w:val="both"/>
        <w:spacing w:before="0" w:after="0"/>
        <w:ind w:left="20" w:right="40" w:firstLine="0"/>
      </w:pPr>
      <w:r>
        <w:rPr>
          <w:lang w:val="ru-RU" w:eastAsia="ru-RU" w:bidi="ru-RU"/>
          <w:sz w:val="24"/>
          <w:szCs w:val="24"/>
          <w:w w:val="100"/>
          <w:spacing w:val="0"/>
          <w:color w:val="000000"/>
          <w:position w:val="0"/>
        </w:rPr>
        <w:t>злоупотреблений в сфере таких закупок регулируются Законом о контрактной системе.</w:t>
      </w:r>
    </w:p>
    <w:p>
      <w:pPr>
        <w:pStyle w:val="Style21"/>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Статьей 6 Закона о контрактной системе установлены принципы контрактной системы в сфере закупок, к которым относятся принципы открытости 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21"/>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Согласно части 4 статьи 24 Закона о контрактной системе одним из конкурентных способов определения поставщиков (подрядчиков, исполнителей) является аукцион, при котором победителем признается участник закупки, котором победителем признается участник закупки, предложивший наименьшую цену контракта.</w:t>
      </w:r>
    </w:p>
    <w:p>
      <w:pPr>
        <w:pStyle w:val="Style21"/>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pPr>
        <w:pStyle w:val="Style21"/>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В соответствии с подпунктом 2 части 1 статьи 64 Закона о контрактной системе документация должна содержать требования к содержанию, составу заявки на участие в таком аукционе в соответствии с частями 3-6 статьи 66 настоящего</w:t>
      </w:r>
    </w:p>
    <w:p>
      <w:pPr>
        <w:pStyle w:val="Style21"/>
        <w:widowControl w:val="0"/>
        <w:keepNext w:val="0"/>
        <w:keepLines w:val="0"/>
        <w:shd w:val="clear" w:color="auto" w:fill="auto"/>
        <w:bidi w:val="0"/>
        <w:jc w:val="both"/>
        <w:spacing w:before="0" w:after="0"/>
        <w:ind w:left="20" w:right="20" w:firstLine="0"/>
      </w:pPr>
      <w:r>
        <w:rPr>
          <w:lang w:val="ru-RU" w:eastAsia="ru-RU" w:bidi="ru-RU"/>
          <w:sz w:val="24"/>
          <w:szCs w:val="24"/>
          <w:w w:val="100"/>
          <w:spacing w:val="0"/>
          <w:color w:val="000000"/>
          <w:position w:val="0"/>
        </w:rPr>
        <w:t>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21"/>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В силу пункта 2 части 5 статьи 66 Закона о контрактной системе вторая часть заявки должна содержать документы, подтверждающие соответствие участника такого аукциона требованиям, установленным пунктом 1 части 1, частями 2 и 2.1 статьи 31 (при наличии таких требований) настоящего Федерального закона, или копии этих документов, а также декларация о соответствии участника такого аукциона требованиям, установленным пунктами 3-9 части 1 статьи 31 настоящего Федерального закона.</w:t>
      </w:r>
    </w:p>
    <w:p>
      <w:pPr>
        <w:pStyle w:val="Style21"/>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Рассмотрев действия аукционной комиссии Заказчика по отклонению заявки ООО «Автомикс», Комиссия Амурского У ФАС России приходит к выводу об их соответствии требованиям Закона о контрактной системе ввиду следующего.</w:t>
      </w:r>
    </w:p>
    <w:p>
      <w:pPr>
        <w:pStyle w:val="Style21"/>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Частью 1 статьи 69 Закона о контрактной системе установлено, что 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частью 19 статьи 68 настоящего Федерального закона, в части соответствия их требованиям, установленным документацией о таком аукционе.</w:t>
      </w:r>
    </w:p>
    <w:p>
      <w:pPr>
        <w:pStyle w:val="Style21"/>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 (часть 2 статьи 69 Закона о контрактной системе).</w:t>
      </w:r>
    </w:p>
    <w:p>
      <w:pPr>
        <w:pStyle w:val="Style21"/>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Частью 6 статьи 69 Закона о контрактной системе предусмотрено, что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21"/>
        <w:numPr>
          <w:ilvl w:val="0"/>
          <w:numId w:val="9"/>
        </w:numPr>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 xml:space="preserve"> непредставления документов и информации, которые предусмотрены частью 11 статьи 24.1, частями 3 или 3.1, 5, 8.2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21"/>
        <w:numPr>
          <w:ilvl w:val="0"/>
          <w:numId w:val="9"/>
        </w:numPr>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 xml:space="preserve">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pPr>
        <w:pStyle w:val="Style21"/>
        <w:numPr>
          <w:ilvl w:val="0"/>
          <w:numId w:val="9"/>
        </w:numPr>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 xml:space="preserve"> предусмотренном нормативными правовыми актами, принятыми в соответствии со статьей 14 настоящего Федерального закона.</w:t>
      </w:r>
    </w:p>
    <w:p>
      <w:pPr>
        <w:pStyle w:val="Style21"/>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Согласно части 6.1 статьи 66 Закона о контрактной системе в случае установления недостоверности информации, содержащейся в документах, представленных участником электронного аукциона в соответствии с частями 3, 5, 8.2 настоящей статьи, аукционная комиссия обязана отстранить такого участника от участия в электронном аукционе на любом этапе его проведения.</w:t>
      </w:r>
    </w:p>
    <w:p>
      <w:pPr>
        <w:pStyle w:val="Style21"/>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В силу части 7 статьи 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настоящей статьи, не допускается.</w:t>
      </w:r>
    </w:p>
    <w:p>
      <w:pPr>
        <w:pStyle w:val="Style21"/>
        <w:widowControl w:val="0"/>
        <w:keepNext w:val="0"/>
        <w:keepLines w:val="0"/>
        <w:shd w:val="clear" w:color="auto" w:fill="auto"/>
        <w:bidi w:val="0"/>
        <w:jc w:val="both"/>
        <w:spacing w:before="0" w:after="0"/>
        <w:ind w:left="40" w:right="40" w:firstLine="700"/>
      </w:pPr>
      <w:r>
        <w:rPr>
          <w:lang w:val="ru-RU" w:eastAsia="ru-RU" w:bidi="ru-RU"/>
          <w:sz w:val="24"/>
          <w:szCs w:val="24"/>
          <w:w w:val="100"/>
          <w:spacing w:val="0"/>
          <w:color w:val="000000"/>
          <w:position w:val="0"/>
        </w:rPr>
        <w:t>Согласно части 8 статьи 69 Закона о контрактной системе результаты рассмотрения заявок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членами аукционной комиссии, и не позднее рабочего дня, следующего за датой подписания указанного протокола, размещаются заказчиком на электронной площадке и в единой информационной системе. Указанный протокол должен содержать информацию о идентификационных номерах пяти заявок на участие в таком аукционе (в случае принятия решения о соответствии пяти заявок на участие в таком аукционе требованиям, установленным документацией о таком аукционе, или в случае принятия аукционной комиссией на основании рассмотрения вторых частей заявок на участие в таком аукционе, поданных всеми участниками такого аукциона, принявшими участие в нем, решения о соответствии более чем одной заявки на участие в таком аукционе, но менее чем пяти данных заявок установленным требованиям), которые ранжированы в соответствии с частью 18 статьи 68 настоящего Федерального закона и в отношении которых принято решение о соответствии требованиям, установленным документацией о таком аукционе, или, если на основании рассмотрения вторых частей заявок на участие в таком аукционе, поданных всеми его участниками, принявшими участие в нем, принято решение о соответствии установленным требованиям более чем одной заявки на участие в таком аукционе, но менее чем пяти данных заявок, а также информацию об их идентификационных номерах, решение о соответствии или о несоответствии заявок на участие в таком аукционе требованиям, установленным документацией о нем, с обоснованием этого решения и с указанием положений настоящего Федерального закона, которым не соответствует участник такого аукциона,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информацию о решении каждого члена аукционной комиссии в отношении каждой заявки на участие в таком аукционе.</w:t>
      </w:r>
    </w:p>
    <w:p>
      <w:pPr>
        <w:pStyle w:val="Style21"/>
        <w:widowControl w:val="0"/>
        <w:keepNext w:val="0"/>
        <w:keepLines w:val="0"/>
        <w:shd w:val="clear" w:color="auto" w:fill="auto"/>
        <w:bidi w:val="0"/>
        <w:jc w:val="both"/>
        <w:spacing w:before="0" w:after="0"/>
        <w:ind w:left="40" w:right="40" w:firstLine="700"/>
      </w:pPr>
      <w:r>
        <w:rPr>
          <w:lang w:val="ru-RU" w:eastAsia="ru-RU" w:bidi="ru-RU"/>
          <w:sz w:val="24"/>
          <w:szCs w:val="24"/>
          <w:w w:val="100"/>
          <w:spacing w:val="0"/>
          <w:color w:val="000000"/>
          <w:position w:val="0"/>
        </w:rPr>
        <w:t>Согласно пункту 4.2 аукционной документации рассматриваемой закупки комиссия рассматривает вторые части заявок на участие в электронном аукционе, а также информацию и электронные документы, направленные уполномоченному органу оператором электронной площадки, в части соответствия их требованиям, установленным документацией об электронном аукционе.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статьей 69 Закона о контрактной системе.</w:t>
      </w:r>
    </w:p>
    <w:p>
      <w:pPr>
        <w:pStyle w:val="Style21"/>
        <w:widowControl w:val="0"/>
        <w:keepNext w:val="0"/>
        <w:keepLines w:val="0"/>
        <w:shd w:val="clear" w:color="auto" w:fill="auto"/>
        <w:bidi w:val="0"/>
        <w:jc w:val="both"/>
        <w:spacing w:before="0" w:after="0"/>
        <w:ind w:left="40" w:right="40" w:firstLine="700"/>
      </w:pPr>
      <w:r>
        <w:rPr>
          <w:lang w:val="ru-RU" w:eastAsia="ru-RU" w:bidi="ru-RU"/>
          <w:sz w:val="24"/>
          <w:szCs w:val="24"/>
          <w:w w:val="100"/>
          <w:spacing w:val="0"/>
          <w:color w:val="000000"/>
          <w:position w:val="0"/>
        </w:rPr>
        <w:t>Постановлением Правительства Российской Федерации от 30.12.2018 № 1752 утверждены правила регистрации участников закупок в единой информационной системе в сфере закупок товаров, работ, услуг для обеспечения государственных и муниципальных нужд и ведения единого реестра участников закупок (далее - Правила № 1752).</w:t>
      </w:r>
    </w:p>
    <w:p>
      <w:pPr>
        <w:pStyle w:val="Style21"/>
        <w:widowControl w:val="0"/>
        <w:keepNext w:val="0"/>
        <w:keepLines w:val="0"/>
        <w:shd w:val="clear" w:color="auto" w:fill="auto"/>
        <w:bidi w:val="0"/>
        <w:jc w:val="both"/>
        <w:spacing w:before="0" w:after="0"/>
        <w:ind w:left="40" w:right="40" w:firstLine="700"/>
      </w:pPr>
      <w:r>
        <w:rPr>
          <w:lang w:val="ru-RU" w:eastAsia="ru-RU" w:bidi="ru-RU"/>
          <w:sz w:val="24"/>
          <w:szCs w:val="24"/>
          <w:w w:val="100"/>
          <w:spacing w:val="0"/>
          <w:color w:val="000000"/>
          <w:position w:val="0"/>
        </w:rPr>
        <w:t>Указанные правила устанавливают порядок и сроки регистрации участников закупок в единой информационной системе в сфере закупок товаров, работ, услуг для обеспечения государственных и муниципальных нужд, осуществляемой в электронной форме, перечень информации и документов, на основании которых осуществляется регистрация участников, порядок ведения единого реестра участников закупок, в том числе внесения в него изменений, перечень информации и документов, включаемых в реестр участников, сроки размещения таких информации и документов в реестре участников.</w:t>
      </w:r>
    </w:p>
    <w:p>
      <w:pPr>
        <w:pStyle w:val="Style21"/>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Подпунктом «р» пункта 5 Правил № 1752 определено, что для регистрации юридического лица, уполномоченное лицо формирует, в том числе, копии учредительных документов юридического лица.</w:t>
      </w:r>
    </w:p>
    <w:p>
      <w:pPr>
        <w:pStyle w:val="Style21"/>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В соответствии с пунктом 16 Правил № 1752 в случае внесения изменений в информацию и документы, за исключением информации и документов, формируемых в соответствии с настоящими Правилами автоматически на основании сведений из государственных информационных систем и (или) официальных сайтов федеральных органов власти, уполномоченных на ведение государственных реестров, замены или прекращения действия таких документов, участник закупки обязан сформировать в единой информационной системе новые информацию и документы в порядке, установленном настоящими Правилами для регистрации участника.</w:t>
      </w:r>
    </w:p>
    <w:p>
      <w:pPr>
        <w:pStyle w:val="Style21"/>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Ответственность за неполноту, недостоверность, изменение информации и документов, формируемых для размещения в реестре участников, за несоответствие указанных информации и документов требованиям, установленным законодательством Российской Федерации, а также за действия, совершенные на основании указанных информации и документов, несет уполномоченное лицо (пункт 17 Правил № 1752).</w:t>
      </w:r>
    </w:p>
    <w:p>
      <w:pPr>
        <w:pStyle w:val="Style21"/>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Из представленных Уполномоченным органом и Заказчиком в материалы дела информации и документов следует, что оператором электронной площадки обеспечено предоставление Заказчику учредительных документов ООО «Автомикс», в том числе устава общества в редакции от21.01.2015.</w:t>
      </w:r>
    </w:p>
    <w:p>
      <w:pPr>
        <w:pStyle w:val="Style21"/>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Вместе с тем, из сведений, размещенных в ЕГРЮЛ в отношении ООО «Автомикс», следует, что в указанный реестр внесена запись в связи с государственной регистрацией изменений, внесенных в учредительный документ общества. В числе документов, представленных при внесении записи в ЕГРЮЛ, значится «УСТАВ ЮЛ» от 17.05.2017.</w:t>
      </w:r>
    </w:p>
    <w:p>
      <w:pPr>
        <w:pStyle w:val="Style21"/>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Тем самым Комиссией Амурского У ФАС России установлено, что на дату и время рассмотрения вторых частей заявок на участие в аукционе в документах и информации, предусмотренных частью 11 статьи 24.1, присутствовала недостоверная информация (Устав в редакции 2015 года).</w:t>
      </w:r>
    </w:p>
    <w:p>
      <w:pPr>
        <w:pStyle w:val="Style21"/>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Следовательно, аукционной комиссией заявка ООО «Автомикс» обоснованно признана несоответствующей требованиям, установленным документацией, по следующим основаниям: непредставление документов и информации, которые предусмотрены пункта 1 части 11 статьи 24.1 Закона о контрактной системе.</w:t>
      </w:r>
    </w:p>
    <w:p>
      <w:pPr>
        <w:pStyle w:val="Style21"/>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Таким образом, довод жалобы заявителя не находит подтверждения, не обоснован.</w:t>
      </w:r>
    </w:p>
    <w:p>
      <w:pPr>
        <w:pStyle w:val="Style21"/>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Рассмотрев жалобу ООО «Автомикс» на действия аукционной комиссии Заказчика и У по лномоченного органа при осуществлении закупки в форме аукциона в электронной форме на выполнение работ по замене аварийных труб водоснабжения и санитарно- технических приборов по адресу: Амурская обл., г. Благовещенск, ул. Амурская, д. 296, объявленной извещением от</w:t>
      </w:r>
    </w:p>
    <w:p>
      <w:pPr>
        <w:pStyle w:val="Style21"/>
        <w:numPr>
          <w:ilvl w:val="0"/>
          <w:numId w:val="11"/>
        </w:numPr>
        <w:tabs>
          <w:tab w:leader="none" w:pos="1417" w:val="left"/>
        </w:tabs>
        <w:widowControl w:val="0"/>
        <w:keepNext w:val="0"/>
        <w:keepLines w:val="0"/>
        <w:shd w:val="clear" w:color="auto" w:fill="auto"/>
        <w:bidi w:val="0"/>
        <w:jc w:val="both"/>
        <w:spacing w:before="0" w:after="302" w:line="317" w:lineRule="exact"/>
        <w:ind w:left="20" w:right="20" w:firstLine="0"/>
      </w:pPr>
      <w:r>
        <w:rPr>
          <w:lang w:val="ru-RU" w:eastAsia="ru-RU" w:bidi="ru-RU"/>
          <w:sz w:val="24"/>
          <w:szCs w:val="24"/>
          <w:w w:val="100"/>
          <w:spacing w:val="0"/>
          <w:color w:val="000000"/>
          <w:position w:val="0"/>
        </w:rPr>
        <w:t xml:space="preserve">№ 0123300008221000446 на электронной площадке ООО «РТС- тендер» </w:t>
      </w:r>
      <w:r>
        <w:fldChar w:fldCharType="begin"/>
      </w:r>
      <w:r>
        <w:rPr>
          <w:color w:val="000000"/>
        </w:rPr>
        <w:instrText> HYPERLINK "http://www.rts-tender.ru" </w:instrText>
      </w:r>
      <w:r>
        <w:fldChar w:fldCharType="separate"/>
      </w:r>
      <w:r>
        <w:rPr>
          <w:rStyle w:val="Hyperlink"/>
          <w:lang w:val="en-US" w:eastAsia="en-US" w:bidi="en-US"/>
          <w:sz w:val="24"/>
          <w:szCs w:val="24"/>
          <w:w w:val="100"/>
          <w:spacing w:val="0"/>
          <w:position w:val="0"/>
        </w:rPr>
        <w:t>www.rts-tender.ru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руководствуясь пунктом 1 части 3, части 15 статьи 99,</w:t>
        <w:br w:type="page"/>
        <w:t>части 8 статьи 106 Закона о контрактной системе,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Комиссия Амурского У ФАС России приняла</w:t>
      </w:r>
    </w:p>
    <w:p>
      <w:pPr>
        <w:pStyle w:val="Style21"/>
        <w:widowControl w:val="0"/>
        <w:keepNext w:val="0"/>
        <w:keepLines w:val="0"/>
        <w:shd w:val="clear" w:color="auto" w:fill="auto"/>
        <w:bidi w:val="0"/>
        <w:jc w:val="center"/>
        <w:spacing w:before="0" w:after="266" w:line="240" w:lineRule="exact"/>
        <w:ind w:left="0" w:right="20" w:firstLine="0"/>
      </w:pPr>
      <w:r>
        <w:rPr>
          <w:lang w:val="ru-RU" w:eastAsia="ru-RU" w:bidi="ru-RU"/>
          <w:sz w:val="24"/>
          <w:szCs w:val="24"/>
          <w:w w:val="100"/>
          <w:spacing w:val="0"/>
          <w:color w:val="000000"/>
          <w:position w:val="0"/>
        </w:rPr>
        <w:t>РЕШЕНИЕ:</w:t>
      </w:r>
    </w:p>
    <w:p>
      <w:pPr>
        <w:pStyle w:val="Style21"/>
        <w:widowControl w:val="0"/>
        <w:keepNext w:val="0"/>
        <w:keepLines w:val="0"/>
        <w:shd w:val="clear" w:color="auto" w:fill="auto"/>
        <w:bidi w:val="0"/>
        <w:jc w:val="left"/>
        <w:spacing w:before="0" w:after="244"/>
        <w:ind w:left="20" w:right="20" w:firstLine="700"/>
      </w:pPr>
      <w:r>
        <w:rPr>
          <w:lang w:val="ru-RU" w:eastAsia="ru-RU" w:bidi="ru-RU"/>
          <w:sz w:val="24"/>
          <w:szCs w:val="24"/>
          <w:w w:val="100"/>
          <w:spacing w:val="0"/>
          <w:color w:val="000000"/>
          <w:position w:val="0"/>
        </w:rPr>
        <w:t>Признать жалобу общества с ограниченной ответственностью «Автомикс» необоснованной.</w:t>
      </w:r>
    </w:p>
    <w:p>
      <w:pPr>
        <w:pStyle w:val="Style21"/>
        <w:widowControl w:val="0"/>
        <w:keepNext w:val="0"/>
        <w:keepLines w:val="0"/>
        <w:shd w:val="clear" w:color="auto" w:fill="auto"/>
        <w:bidi w:val="0"/>
        <w:jc w:val="left"/>
        <w:spacing w:before="0" w:after="582" w:line="293" w:lineRule="exact"/>
        <w:ind w:left="20" w:right="20" w:firstLine="700"/>
      </w:pPr>
      <w:r>
        <w:rPr>
          <w:lang w:val="ru-RU" w:eastAsia="ru-RU" w:bidi="ru-RU"/>
          <w:sz w:val="24"/>
          <w:szCs w:val="24"/>
          <w:w w:val="100"/>
          <w:spacing w:val="0"/>
          <w:color w:val="000000"/>
          <w:position w:val="0"/>
        </w:rPr>
        <w:t>Решение Комиссии антимонопольного органа может быть обжаловано в судебном порядке в течение трех месяцев со дня его принятия.</w:t>
      </w:r>
    </w:p>
    <w:p>
      <w:pPr>
        <w:pStyle w:val="Style21"/>
        <w:widowControl w:val="0"/>
        <w:keepNext w:val="0"/>
        <w:keepLines w:val="0"/>
        <w:shd w:val="clear" w:color="auto" w:fill="auto"/>
        <w:bidi w:val="0"/>
        <w:jc w:val="both"/>
        <w:spacing w:before="0" w:after="0" w:line="240" w:lineRule="exact"/>
        <w:ind w:left="20" w:right="0" w:firstLine="0"/>
        <w:sectPr>
          <w:type w:val="continuous"/>
          <w:pgSz w:w="11906" w:h="16838"/>
          <w:pgMar w:top="1034" w:left="805" w:right="805" w:bottom="626" w:header="0" w:footer="3" w:gutter="408"/>
          <w:rtlGutter w:val="0"/>
          <w:cols w:space="720"/>
          <w:noEndnote/>
          <w:docGrid w:linePitch="360"/>
        </w:sectPr>
      </w:pPr>
      <w:r>
        <w:rPr>
          <w:lang w:val="ru-RU" w:eastAsia="ru-RU" w:bidi="ru-RU"/>
          <w:sz w:val="24"/>
          <w:szCs w:val="24"/>
          <w:w w:val="100"/>
          <w:spacing w:val="0"/>
          <w:color w:val="000000"/>
          <w:position w:val="0"/>
        </w:rPr>
        <w:t>Председатель Комиссии:</w:t>
      </w:r>
    </w:p>
    <w:p>
      <w:pPr>
        <w:widowControl w:val="0"/>
        <w:spacing w:line="240" w:lineRule="exact"/>
        <w:rPr>
          <w:sz w:val="19"/>
          <w:szCs w:val="19"/>
        </w:rPr>
      </w:pPr>
    </w:p>
    <w:p>
      <w:pPr>
        <w:widowControl w:val="0"/>
        <w:spacing w:before="99" w:after="9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1"/>
        <w:framePr w:h="233" w:wrap="around" w:hAnchor="margin" w:x="-7032" w:y="6582"/>
        <w:widowControl w:val="0"/>
        <w:keepNext w:val="0"/>
        <w:keepLines w:val="0"/>
        <w:shd w:val="clear" w:color="auto" w:fill="auto"/>
        <w:bidi w:val="0"/>
        <w:jc w:val="left"/>
        <w:spacing w:before="0" w:after="0" w:line="230" w:lineRule="exact"/>
        <w:ind w:left="0" w:right="0" w:firstLine="0"/>
      </w:pPr>
      <w:r>
        <w:rPr>
          <w:rStyle w:val="CharStyle27"/>
        </w:rPr>
        <w:t>Члены Комиссии:</w:t>
      </w:r>
    </w:p>
    <w:p>
      <w:pPr>
        <w:pStyle w:val="Style21"/>
        <w:widowControl w:val="0"/>
        <w:keepNext w:val="0"/>
        <w:keepLines w:val="0"/>
        <w:shd w:val="clear" w:color="auto" w:fill="auto"/>
        <w:bidi w:val="0"/>
        <w:jc w:val="left"/>
        <w:spacing w:before="0" w:after="302" w:line="240" w:lineRule="exact"/>
        <w:ind w:left="0" w:right="0" w:firstLine="0"/>
      </w:pPr>
      <w:r>
        <w:rPr>
          <w:lang w:val="ru-RU" w:eastAsia="ru-RU" w:bidi="ru-RU"/>
          <w:sz w:val="24"/>
          <w:szCs w:val="24"/>
          <w:w w:val="100"/>
          <w:spacing w:val="0"/>
          <w:color w:val="000000"/>
          <w:position w:val="0"/>
        </w:rPr>
        <w:t>М.М. Парнищева</w:t>
      </w:r>
    </w:p>
    <w:p>
      <w:pPr>
        <w:pStyle w:val="Style21"/>
        <w:widowControl w:val="0"/>
        <w:keepNext w:val="0"/>
        <w:keepLines w:val="0"/>
        <w:shd w:val="clear" w:color="auto" w:fill="auto"/>
        <w:bidi w:val="0"/>
        <w:jc w:val="left"/>
        <w:spacing w:before="0" w:after="0" w:line="240" w:lineRule="exact"/>
        <w:ind w:left="240" w:right="0" w:firstLine="0"/>
      </w:pPr>
      <w:r>
        <w:rPr>
          <w:lang w:val="ru-RU" w:eastAsia="ru-RU" w:bidi="ru-RU"/>
          <w:sz w:val="24"/>
          <w:szCs w:val="24"/>
          <w:w w:val="100"/>
          <w:spacing w:val="0"/>
          <w:color w:val="000000"/>
          <w:position w:val="0"/>
        </w:rPr>
        <w:t>Е.В. Стрелкова</w:t>
      </w:r>
    </w:p>
    <w:sectPr>
      <w:type w:val="continuous"/>
      <w:pgSz w:w="11906" w:h="16838"/>
      <w:pgMar w:top="4730" w:left="8569" w:right="1052" w:bottom="422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26.1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18.01.%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2021"/>
      <w:numFmt w:val="decimal"/>
      <w:lvlText w:val="26.1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2021"/>
      <w:numFmt w:val="decimal"/>
      <w:lvlText w:val="01.1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0">
    <w:multiLevelType w:val="multilevel"/>
    <w:lvl w:ilvl="0">
      <w:start w:val="2021"/>
      <w:numFmt w:val="decimal"/>
      <w:lvlText w:val="01.1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7) Exact"/>
    <w:basedOn w:val="DefaultParagraphFont"/>
    <w:link w:val="Style3"/>
    <w:rPr>
      <w:b w:val="0"/>
      <w:bCs w:val="0"/>
      <w:i w:val="0"/>
      <w:iCs w:val="0"/>
      <w:u w:val="none"/>
      <w:strike w:val="0"/>
      <w:smallCaps w:val="0"/>
      <w:sz w:val="17"/>
      <w:szCs w:val="17"/>
      <w:rFonts w:ascii="Times New Roman" w:eastAsia="Times New Roman" w:hAnsi="Times New Roman" w:cs="Times New Roman"/>
      <w:spacing w:val="3"/>
    </w:rPr>
  </w:style>
  <w:style w:type="character" w:customStyle="1" w:styleId="CharStyle6">
    <w:name w:val="Основной текст (2)_"/>
    <w:basedOn w:val="DefaultParagraphFont"/>
    <w:link w:val="Style5"/>
    <w:rPr>
      <w:b w:val="0"/>
      <w:bCs w:val="0"/>
      <w:i w:val="0"/>
      <w:iCs w:val="0"/>
      <w:u w:val="none"/>
      <w:strike w:val="0"/>
      <w:smallCaps w:val="0"/>
      <w:sz w:val="23"/>
      <w:szCs w:val="23"/>
      <w:rFonts w:ascii="Times New Roman" w:eastAsia="Times New Roman" w:hAnsi="Times New Roman" w:cs="Times New Roman"/>
      <w:spacing w:val="10"/>
    </w:rPr>
  </w:style>
  <w:style w:type="character" w:customStyle="1" w:styleId="CharStyle8">
    <w:name w:val="Основной текст (3)_"/>
    <w:basedOn w:val="DefaultParagraphFont"/>
    <w:link w:val="Style7"/>
    <w:rPr>
      <w:b/>
      <w:bCs/>
      <w:i w:val="0"/>
      <w:iCs w:val="0"/>
      <w:u w:val="none"/>
      <w:strike w:val="0"/>
      <w:smallCaps w:val="0"/>
      <w:sz w:val="23"/>
      <w:szCs w:val="23"/>
      <w:rFonts w:ascii="Times New Roman" w:eastAsia="Times New Roman" w:hAnsi="Times New Roman" w:cs="Times New Roman"/>
    </w:rPr>
  </w:style>
  <w:style w:type="character" w:customStyle="1" w:styleId="CharStyle9">
    <w:name w:val="Основной текст (2) + Полужирный,Интервал 0 pt"/>
    <w:basedOn w:val="CharStyle6"/>
    <w:rPr>
      <w:lang w:val="ru-RU" w:eastAsia="ru-RU" w:bidi="ru-RU"/>
      <w:b/>
      <w:bCs/>
      <w:w w:val="100"/>
      <w:spacing w:val="0"/>
      <w:color w:val="000000"/>
      <w:position w:val="0"/>
    </w:rPr>
  </w:style>
  <w:style w:type="character" w:customStyle="1" w:styleId="CharStyle11">
    <w:name w:val="Основной текст (4)_"/>
    <w:basedOn w:val="DefaultParagraphFont"/>
    <w:link w:val="Style10"/>
    <w:rPr>
      <w:b w:val="0"/>
      <w:bCs w:val="0"/>
      <w:i w:val="0"/>
      <w:iCs w:val="0"/>
      <w:u w:val="none"/>
      <w:strike w:val="0"/>
      <w:smallCaps w:val="0"/>
      <w:sz w:val="16"/>
      <w:szCs w:val="16"/>
      <w:rFonts w:ascii="Times New Roman" w:eastAsia="Times New Roman" w:hAnsi="Times New Roman" w:cs="Times New Roman"/>
      <w:spacing w:val="10"/>
    </w:rPr>
  </w:style>
  <w:style w:type="character" w:customStyle="1" w:styleId="CharStyle12">
    <w:name w:val="Основной текст (4) + Trebuchet MS,7,5 pt,Полужирный,Интервал 0 pt"/>
    <w:basedOn w:val="CharStyle11"/>
    <w:rPr>
      <w:lang w:val="ru-RU" w:eastAsia="ru-RU" w:bidi="ru-RU"/>
      <w:b/>
      <w:bCs/>
      <w:sz w:val="15"/>
      <w:szCs w:val="15"/>
      <w:rFonts w:ascii="Trebuchet MS" w:eastAsia="Trebuchet MS" w:hAnsi="Trebuchet MS" w:cs="Trebuchet MS"/>
      <w:w w:val="100"/>
      <w:spacing w:val="0"/>
      <w:color w:val="000000"/>
      <w:position w:val="0"/>
    </w:rPr>
  </w:style>
  <w:style w:type="character" w:customStyle="1" w:styleId="CharStyle14">
    <w:name w:val="Заголовок №1_"/>
    <w:basedOn w:val="DefaultParagraphFont"/>
    <w:link w:val="Style13"/>
    <w:rPr>
      <w:b/>
      <w:bCs/>
      <w:i/>
      <w:iCs/>
      <w:u w:val="none"/>
      <w:strike w:val="0"/>
      <w:smallCaps w:val="0"/>
      <w:sz w:val="36"/>
      <w:szCs w:val="36"/>
      <w:rFonts w:ascii="Times New Roman" w:eastAsia="Times New Roman" w:hAnsi="Times New Roman" w:cs="Times New Roman"/>
    </w:rPr>
  </w:style>
  <w:style w:type="character" w:customStyle="1" w:styleId="CharStyle15">
    <w:name w:val="Заголовок №1 + Не полужирный,Не курсив,Интервал 1 pt"/>
    <w:basedOn w:val="CharStyle14"/>
    <w:rPr>
      <w:lang w:val="ru-RU" w:eastAsia="ru-RU" w:bidi="ru-RU"/>
      <w:b/>
      <w:bCs/>
      <w:i/>
      <w:iCs/>
      <w:w w:val="100"/>
      <w:spacing w:val="30"/>
      <w:color w:val="000000"/>
      <w:position w:val="0"/>
    </w:rPr>
  </w:style>
  <w:style w:type="character" w:customStyle="1" w:styleId="CharStyle16">
    <w:name w:val="Заголовок №1 + 14 pt,Не полужирный,Не курсив,Интервал -1 pt"/>
    <w:basedOn w:val="CharStyle14"/>
    <w:rPr>
      <w:lang w:val="ru-RU" w:eastAsia="ru-RU" w:bidi="ru-RU"/>
      <w:b/>
      <w:bCs/>
      <w:i/>
      <w:iCs/>
      <w:sz w:val="28"/>
      <w:szCs w:val="28"/>
      <w:w w:val="100"/>
      <w:spacing w:val="-20"/>
      <w:color w:val="000000"/>
      <w:position w:val="0"/>
    </w:rPr>
  </w:style>
  <w:style w:type="character" w:customStyle="1" w:styleId="CharStyle18">
    <w:name w:val="Основной текст (5)_"/>
    <w:basedOn w:val="DefaultParagraphFont"/>
    <w:link w:val="Style17"/>
    <w:rPr>
      <w:b w:val="0"/>
      <w:bCs w:val="0"/>
      <w:i w:val="0"/>
      <w:iCs w:val="0"/>
      <w:u w:val="none"/>
      <w:strike w:val="0"/>
      <w:smallCaps w:val="0"/>
      <w:sz w:val="18"/>
      <w:szCs w:val="18"/>
      <w:rFonts w:ascii="Times New Roman" w:eastAsia="Times New Roman" w:hAnsi="Times New Roman" w:cs="Times New Roman"/>
      <w:spacing w:val="20"/>
    </w:rPr>
  </w:style>
  <w:style w:type="character" w:customStyle="1" w:styleId="CharStyle20">
    <w:name w:val="Основной текст (6)_"/>
    <w:basedOn w:val="DefaultParagraphFont"/>
    <w:link w:val="Style19"/>
    <w:rPr>
      <w:b/>
      <w:bCs/>
      <w:i w:val="0"/>
      <w:iCs w:val="0"/>
      <w:u w:val="none"/>
      <w:strike w:val="0"/>
      <w:smallCaps w:val="0"/>
      <w:rFonts w:ascii="Times New Roman" w:eastAsia="Times New Roman" w:hAnsi="Times New Roman" w:cs="Times New Roman"/>
    </w:rPr>
  </w:style>
  <w:style w:type="character" w:customStyle="1" w:styleId="CharStyle22">
    <w:name w:val="Основной текст_"/>
    <w:basedOn w:val="DefaultParagraphFont"/>
    <w:link w:val="Style21"/>
    <w:rPr>
      <w:b w:val="0"/>
      <w:bCs w:val="0"/>
      <w:i w:val="0"/>
      <w:iCs w:val="0"/>
      <w:u w:val="none"/>
      <w:strike w:val="0"/>
      <w:smallCaps w:val="0"/>
      <w:rFonts w:ascii="Times New Roman" w:eastAsia="Times New Roman" w:hAnsi="Times New Roman" w:cs="Times New Roman"/>
    </w:rPr>
  </w:style>
  <w:style w:type="character" w:customStyle="1" w:styleId="CharStyle24">
    <w:name w:val="Основной текст (8)_"/>
    <w:basedOn w:val="DefaultParagraphFont"/>
    <w:link w:val="Style23"/>
    <w:rPr>
      <w:b/>
      <w:bCs/>
      <w:i w:val="0"/>
      <w:iCs w:val="0"/>
      <w:u w:val="none"/>
      <w:strike w:val="0"/>
      <w:smallCaps w:val="0"/>
      <w:sz w:val="26"/>
      <w:szCs w:val="26"/>
      <w:rFonts w:ascii="Times New Roman" w:eastAsia="Times New Roman" w:hAnsi="Times New Roman" w:cs="Times New Roman"/>
    </w:rPr>
  </w:style>
  <w:style w:type="character" w:customStyle="1" w:styleId="CharStyle25">
    <w:name w:val="Основной текст (8) + Не полужирный"/>
    <w:basedOn w:val="CharStyle24"/>
    <w:rPr>
      <w:lang w:val="ru-RU" w:eastAsia="ru-RU" w:bidi="ru-RU"/>
      <w:b/>
      <w:bCs/>
      <w:w w:val="100"/>
      <w:spacing w:val="0"/>
      <w:color w:val="000000"/>
      <w:position w:val="0"/>
    </w:rPr>
  </w:style>
  <w:style w:type="character" w:customStyle="1" w:styleId="CharStyle26">
    <w:name w:val="Основной текст (8) + 11,5 pt,Не полужирный,Интервал 0 pt"/>
    <w:basedOn w:val="CharStyle24"/>
    <w:rPr>
      <w:lang w:val="en-US" w:eastAsia="en-US" w:bidi="en-US"/>
      <w:b/>
      <w:bCs/>
      <w:sz w:val="23"/>
      <w:szCs w:val="23"/>
      <w:w w:val="100"/>
      <w:spacing w:val="10"/>
      <w:color w:val="000000"/>
      <w:position w:val="0"/>
    </w:rPr>
  </w:style>
  <w:style w:type="character" w:customStyle="1" w:styleId="CharStyle27">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rPr>
  </w:style>
  <w:style w:type="paragraph" w:customStyle="1" w:styleId="Style3">
    <w:name w:val="Основной текст (7)"/>
    <w:basedOn w:val="Normal"/>
    <w:link w:val="CharStyle4"/>
    <w:pPr>
      <w:widowControl w:val="0"/>
      <w:shd w:val="clear" w:color="auto" w:fill="FFFFFF"/>
      <w:spacing w:line="0" w:lineRule="exact"/>
    </w:pPr>
    <w:rPr>
      <w:b w:val="0"/>
      <w:bCs w:val="0"/>
      <w:i w:val="0"/>
      <w:iCs w:val="0"/>
      <w:u w:val="none"/>
      <w:strike w:val="0"/>
      <w:smallCaps w:val="0"/>
      <w:sz w:val="17"/>
      <w:szCs w:val="17"/>
      <w:rFonts w:ascii="Times New Roman" w:eastAsia="Times New Roman" w:hAnsi="Times New Roman" w:cs="Times New Roman"/>
      <w:spacing w:val="3"/>
    </w:rPr>
  </w:style>
  <w:style w:type="paragraph" w:customStyle="1" w:styleId="Style5">
    <w:name w:val="Основной текст (2)"/>
    <w:basedOn w:val="Normal"/>
    <w:link w:val="CharStyle6"/>
    <w:pPr>
      <w:widowControl w:val="0"/>
      <w:shd w:val="clear" w:color="auto" w:fill="FFFFFF"/>
      <w:jc w:val="center"/>
      <w:spacing w:after="60" w:line="293" w:lineRule="exact"/>
    </w:pPr>
    <w:rPr>
      <w:b w:val="0"/>
      <w:bCs w:val="0"/>
      <w:i w:val="0"/>
      <w:iCs w:val="0"/>
      <w:u w:val="none"/>
      <w:strike w:val="0"/>
      <w:smallCaps w:val="0"/>
      <w:sz w:val="23"/>
      <w:szCs w:val="23"/>
      <w:rFonts w:ascii="Times New Roman" w:eastAsia="Times New Roman" w:hAnsi="Times New Roman" w:cs="Times New Roman"/>
      <w:spacing w:val="10"/>
    </w:rPr>
  </w:style>
  <w:style w:type="paragraph" w:customStyle="1" w:styleId="Style7">
    <w:name w:val="Основной текст (3)"/>
    <w:basedOn w:val="Normal"/>
    <w:link w:val="CharStyle8"/>
    <w:pPr>
      <w:widowControl w:val="0"/>
      <w:shd w:val="clear" w:color="auto" w:fill="FFFFFF"/>
      <w:jc w:val="center"/>
      <w:spacing w:before="60" w:after="6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10">
    <w:name w:val="Основной текст (4)"/>
    <w:basedOn w:val="Normal"/>
    <w:link w:val="CharStyle11"/>
    <w:pPr>
      <w:widowControl w:val="0"/>
      <w:shd w:val="clear" w:color="auto" w:fill="FFFFFF"/>
      <w:jc w:val="center"/>
      <w:spacing w:before="60" w:after="300" w:line="221" w:lineRule="exact"/>
    </w:pPr>
    <w:rPr>
      <w:b w:val="0"/>
      <w:bCs w:val="0"/>
      <w:i w:val="0"/>
      <w:iCs w:val="0"/>
      <w:u w:val="none"/>
      <w:strike w:val="0"/>
      <w:smallCaps w:val="0"/>
      <w:sz w:val="16"/>
      <w:szCs w:val="16"/>
      <w:rFonts w:ascii="Times New Roman" w:eastAsia="Times New Roman" w:hAnsi="Times New Roman" w:cs="Times New Roman"/>
      <w:spacing w:val="10"/>
    </w:rPr>
  </w:style>
  <w:style w:type="paragraph" w:customStyle="1" w:styleId="Style13">
    <w:name w:val="Заголовок №1"/>
    <w:basedOn w:val="Normal"/>
    <w:link w:val="CharStyle14"/>
    <w:pPr>
      <w:widowControl w:val="0"/>
      <w:shd w:val="clear" w:color="auto" w:fill="FFFFFF"/>
      <w:jc w:val="both"/>
      <w:outlineLvl w:val="0"/>
      <w:spacing w:before="300" w:after="60" w:line="0" w:lineRule="exact"/>
    </w:pPr>
    <w:rPr>
      <w:b/>
      <w:bCs/>
      <w:i/>
      <w:iCs/>
      <w:u w:val="none"/>
      <w:strike w:val="0"/>
      <w:smallCaps w:val="0"/>
      <w:sz w:val="36"/>
      <w:szCs w:val="36"/>
      <w:rFonts w:ascii="Times New Roman" w:eastAsia="Times New Roman" w:hAnsi="Times New Roman" w:cs="Times New Roman"/>
    </w:rPr>
  </w:style>
  <w:style w:type="paragraph" w:customStyle="1" w:styleId="Style17">
    <w:name w:val="Основной текст (5)"/>
    <w:basedOn w:val="Normal"/>
    <w:link w:val="CharStyle18"/>
    <w:pPr>
      <w:widowControl w:val="0"/>
      <w:shd w:val="clear" w:color="auto" w:fill="FFFFFF"/>
      <w:spacing w:before="60" w:line="0" w:lineRule="exact"/>
    </w:pPr>
    <w:rPr>
      <w:b w:val="0"/>
      <w:bCs w:val="0"/>
      <w:i w:val="0"/>
      <w:iCs w:val="0"/>
      <w:u w:val="none"/>
      <w:strike w:val="0"/>
      <w:smallCaps w:val="0"/>
      <w:sz w:val="18"/>
      <w:szCs w:val="18"/>
      <w:rFonts w:ascii="Times New Roman" w:eastAsia="Times New Roman" w:hAnsi="Times New Roman" w:cs="Times New Roman"/>
      <w:spacing w:val="20"/>
    </w:rPr>
  </w:style>
  <w:style w:type="paragraph" w:customStyle="1" w:styleId="Style19">
    <w:name w:val="Основной текст (6)"/>
    <w:basedOn w:val="Normal"/>
    <w:link w:val="CharStyle20"/>
    <w:pPr>
      <w:widowControl w:val="0"/>
      <w:shd w:val="clear" w:color="auto" w:fill="FFFFFF"/>
      <w:spacing w:after="60" w:line="0" w:lineRule="exact"/>
    </w:pPr>
    <w:rPr>
      <w:b/>
      <w:bCs/>
      <w:i w:val="0"/>
      <w:iCs w:val="0"/>
      <w:u w:val="none"/>
      <w:strike w:val="0"/>
      <w:smallCaps w:val="0"/>
      <w:rFonts w:ascii="Times New Roman" w:eastAsia="Times New Roman" w:hAnsi="Times New Roman" w:cs="Times New Roman"/>
    </w:rPr>
  </w:style>
  <w:style w:type="paragraph" w:customStyle="1" w:styleId="Style21">
    <w:name w:val="Основной текст"/>
    <w:basedOn w:val="Normal"/>
    <w:link w:val="CharStyle22"/>
    <w:pPr>
      <w:widowControl w:val="0"/>
      <w:shd w:val="clear" w:color="auto" w:fill="FFFFFF"/>
      <w:spacing w:before="60" w:after="240" w:line="298" w:lineRule="exact"/>
    </w:pPr>
    <w:rPr>
      <w:b w:val="0"/>
      <w:bCs w:val="0"/>
      <w:i w:val="0"/>
      <w:iCs w:val="0"/>
      <w:u w:val="none"/>
      <w:strike w:val="0"/>
      <w:smallCaps w:val="0"/>
      <w:rFonts w:ascii="Times New Roman" w:eastAsia="Times New Roman" w:hAnsi="Times New Roman" w:cs="Times New Roman"/>
    </w:rPr>
  </w:style>
  <w:style w:type="paragraph" w:customStyle="1" w:styleId="Style23">
    <w:name w:val="Основной текст (8)"/>
    <w:basedOn w:val="Normal"/>
    <w:link w:val="CharStyle24"/>
    <w:pPr>
      <w:widowControl w:val="0"/>
      <w:shd w:val="clear" w:color="auto" w:fill="FFFFFF"/>
      <w:jc w:val="right"/>
      <w:spacing w:before="540" w:line="0"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