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7"/>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93"/>
        <w:ind w:left="0" w:right="0" w:firstLine="0"/>
      </w:pPr>
      <w:r>
        <w:rPr>
          <w:rStyle w:val="CharStyle8"/>
          <w:b/>
          <w:bCs/>
        </w:rPr>
        <w:t>УПРАВЛЕНИЕ Федеральной антимонопольной службы по Республике Адыгея</w:t>
      </w:r>
    </w:p>
    <w:p>
      <w:pPr>
        <w:pStyle w:val="Style9"/>
        <w:widowControl w:val="0"/>
        <w:keepNext w:val="0"/>
        <w:keepLines w:val="0"/>
        <w:shd w:val="clear" w:color="auto" w:fill="auto"/>
        <w:bidi w:val="0"/>
        <w:spacing w:before="0" w:after="0"/>
        <w:ind w:left="0" w:right="0" w:firstLine="0"/>
      </w:pPr>
      <w:r>
        <w:rPr>
          <w:rStyle w:val="CharStyle11"/>
        </w:rPr>
        <w:t xml:space="preserve">ул. Ленина, 40, г. Майкоп, 385000 Тел./факс: (8772) 57-05-22 </w:t>
      </w:r>
      <w:r>
        <w:rPr>
          <w:rStyle w:val="CharStyle11"/>
          <w:lang w:val="en-US" w:eastAsia="en-US" w:bidi="en-US"/>
        </w:rPr>
        <w:t xml:space="preserve">e-mail: </w:t>
      </w:r>
      <w:r>
        <w:fldChar w:fldCharType="begin"/>
      </w:r>
      <w:r>
        <w:rPr>
          <w:rStyle w:val="CharStyle11"/>
        </w:rPr>
        <w:instrText> HYPERLINK "mailto:to01@fas.gov.ni" </w:instrText>
      </w:r>
      <w:r>
        <w:fldChar w:fldCharType="separate"/>
      </w:r>
      <w:r>
        <w:rPr>
          <w:rStyle w:val="Hyperlink"/>
          <w:lang w:val="en-US" w:eastAsia="en-US" w:bidi="en-US"/>
        </w:rPr>
        <w:t>to01@fas.gov.ni</w:t>
      </w:r>
      <w:r>
        <w:fldChar w:fldCharType="end"/>
      </w:r>
    </w:p>
    <w:p>
      <w:pPr>
        <w:pStyle w:val="Style3"/>
        <w:widowControl w:val="0"/>
        <w:keepNext w:val="0"/>
        <w:keepLines w:val="0"/>
        <w:shd w:val="clear" w:color="auto" w:fill="auto"/>
        <w:bidi w:val="0"/>
        <w:spacing w:before="0" w:after="105" w:line="259" w:lineRule="exact"/>
        <w:ind w:left="0" w:right="0" w:firstLine="0"/>
      </w:pPr>
      <w:r>
        <w:rPr>
          <w:rStyle w:val="CharStyle5"/>
        </w:rPr>
        <w:t>МОНОПОЛИЕМ ПЭШ1УЕКЮРЭ ФЕДЕРАЛЬНО КЪУЛЫКЪУР</w:t>
      </w:r>
    </w:p>
    <w:p>
      <w:pPr>
        <w:pStyle w:val="Style12"/>
        <w:widowControl w:val="0"/>
        <w:keepNext w:val="0"/>
        <w:keepLines w:val="0"/>
        <w:shd w:val="clear" w:color="auto" w:fill="auto"/>
        <w:bidi w:val="0"/>
        <w:spacing w:before="0" w:after="182"/>
        <w:ind w:left="0" w:right="0" w:firstLine="0"/>
      </w:pPr>
      <w:r>
        <w:rPr>
          <w:rStyle w:val="CharStyle14"/>
        </w:rPr>
        <w:t>Монополием пэш1уек1орэ Федеральнэ къулыкъум Адыгэ РеспубликэмкЬ и Гъэ1орыш1ап1</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913" w:left="798" w:right="1297" w:bottom="865" w:header="0" w:footer="3" w:gutter="0"/>
          <w:rtlGutter w:val="0"/>
          <w:cols w:num="2" w:space="2431"/>
          <w:noEndnote/>
          <w:docGrid w:linePitch="360"/>
        </w:sectPr>
      </w:pPr>
      <w:r>
        <w:rPr>
          <w:rStyle w:val="CharStyle11"/>
        </w:rPr>
        <w:t xml:space="preserve">Лениным иур.. 40, къ. Мыекъуапэ,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widowControl w:val="0"/>
        <w:spacing w:line="79"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ООО «СЕЛЕНИТ-МЕД»</w:t>
      </w:r>
    </w:p>
    <w:p>
      <w:pPr>
        <w:pStyle w:val="Style15"/>
        <w:framePr w:h="180" w:wrap="around" w:vAnchor="text" w:hAnchor="margin" w:x="-2087" w:y="97"/>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w:t>
      </w:r>
    </w:p>
    <w:p>
      <w:pPr>
        <w:pStyle w:val="Style9"/>
        <w:framePr w:h="155" w:wrap="around" w:vAnchor="text" w:hAnchor="margin" w:x="-3609" w:y="611"/>
        <w:widowControl w:val="0"/>
        <w:keepNext w:val="0"/>
        <w:keepLines w:val="0"/>
        <w:shd w:val="clear" w:color="auto" w:fill="auto"/>
        <w:bidi w:val="0"/>
        <w:jc w:val="left"/>
        <w:spacing w:before="0" w:after="0" w:line="150" w:lineRule="exact"/>
        <w:ind w:left="0" w:right="0" w:firstLine="0"/>
      </w:pPr>
      <w:r>
        <w:rPr>
          <w:rStyle w:val="CharStyle18"/>
          <w:spacing w:val="0"/>
        </w:rPr>
        <w:t>На №</w:t>
      </w:r>
    </w:p>
    <w:p>
      <w:pPr>
        <w:pStyle w:val="Style12"/>
        <w:widowControl w:val="0"/>
        <w:keepNext w:val="0"/>
        <w:keepLines w:val="0"/>
        <w:shd w:val="clear" w:color="auto" w:fill="auto"/>
        <w:bidi w:val="0"/>
        <w:jc w:val="left"/>
        <w:spacing w:before="0" w:after="240" w:line="326" w:lineRule="exact"/>
        <w:ind w:left="20" w:right="320" w:firstLine="0"/>
      </w:pPr>
      <w:r>
        <w:rPr>
          <w:lang w:val="ru-RU" w:eastAsia="ru-RU" w:bidi="ru-RU"/>
          <w:w w:val="100"/>
          <w:spacing w:val="0"/>
          <w:color w:val="000000"/>
          <w:position w:val="0"/>
        </w:rPr>
        <w:t xml:space="preserve">344025, город Ростов-на-Дону, улица Рыльского, 2/2 </w:t>
      </w:r>
      <w:r>
        <w:rPr>
          <w:lang w:val="en-US" w:eastAsia="en-US" w:bidi="en-US"/>
          <w:w w:val="100"/>
          <w:spacing w:val="0"/>
          <w:color w:val="000000"/>
          <w:position w:val="0"/>
        </w:rPr>
        <w:t xml:space="preserve">E-mail: </w:t>
      </w:r>
      <w:r>
        <w:fldChar w:fldCharType="begin"/>
      </w:r>
      <w:r>
        <w:rPr>
          <w:color w:val="000000"/>
        </w:rPr>
        <w:instrText> HYPERLINK "mailto:s.selenit@yandex.ru" </w:instrText>
      </w:r>
      <w:r>
        <w:fldChar w:fldCharType="separate"/>
      </w:r>
      <w:r>
        <w:rPr>
          <w:rStyle w:val="Hyperlink"/>
          <w:lang w:val="en-US" w:eastAsia="en-US" w:bidi="en-US"/>
          <w:w w:val="100"/>
          <w:spacing w:val="0"/>
          <w:position w:val="0"/>
        </w:rPr>
        <w:t>s.selenit@yandex.ru</w:t>
      </w:r>
      <w:r>
        <w:fldChar w:fldCharType="end"/>
      </w:r>
    </w:p>
    <w:p>
      <w:pPr>
        <w:pStyle w:val="Style12"/>
        <w:widowControl w:val="0"/>
        <w:keepNext w:val="0"/>
        <w:keepLines w:val="0"/>
        <w:shd w:val="clear" w:color="auto" w:fill="auto"/>
        <w:bidi w:val="0"/>
        <w:jc w:val="left"/>
        <w:spacing w:before="0" w:after="0" w:line="326" w:lineRule="exact"/>
        <w:ind w:left="20" w:right="320" w:firstLine="0"/>
      </w:pPr>
      <w:r>
        <w:rPr>
          <w:lang w:val="ru-RU" w:eastAsia="ru-RU" w:bidi="ru-RU"/>
          <w:w w:val="100"/>
          <w:spacing w:val="0"/>
          <w:color w:val="000000"/>
          <w:position w:val="0"/>
        </w:rPr>
        <w:t>ГБУЗРА Адыгейская республиканская клиническая больница</w:t>
      </w:r>
    </w:p>
    <w:p>
      <w:pPr>
        <w:pStyle w:val="Style12"/>
        <w:widowControl w:val="0"/>
        <w:keepNext w:val="0"/>
        <w:keepLines w:val="0"/>
        <w:shd w:val="clear" w:color="auto" w:fill="auto"/>
        <w:bidi w:val="0"/>
        <w:jc w:val="left"/>
        <w:spacing w:before="0" w:after="244" w:line="322" w:lineRule="exact"/>
        <w:ind w:left="20" w:right="320" w:firstLine="0"/>
      </w:pPr>
      <w:r>
        <w:rPr>
          <w:lang w:val="ru-RU" w:eastAsia="ru-RU" w:bidi="ru-RU"/>
          <w:w w:val="100"/>
          <w:spacing w:val="0"/>
          <w:color w:val="000000"/>
          <w:position w:val="0"/>
        </w:rPr>
        <w:t xml:space="preserve">385000, город Майкоп, улица Жуковского,4 </w:t>
      </w:r>
      <w:r>
        <w:rPr>
          <w:lang w:val="en-US" w:eastAsia="en-US" w:bidi="en-US"/>
          <w:w w:val="100"/>
          <w:spacing w:val="0"/>
          <w:color w:val="000000"/>
          <w:position w:val="0"/>
        </w:rPr>
        <w:t xml:space="preserve">E-mail: </w:t>
      </w:r>
      <w:r>
        <w:fldChar w:fldCharType="begin"/>
      </w:r>
      <w:r>
        <w:rPr>
          <w:color w:val="000000"/>
        </w:rPr>
        <w:instrText> HYPERLINK "mailto:arkb.torgi@mail.ru" </w:instrText>
      </w:r>
      <w:r>
        <w:fldChar w:fldCharType="separate"/>
      </w:r>
      <w:r>
        <w:rPr>
          <w:rStyle w:val="Hyperlink"/>
          <w:lang w:val="en-US" w:eastAsia="en-US" w:bidi="en-US"/>
          <w:w w:val="100"/>
          <w:spacing w:val="0"/>
          <w:position w:val="0"/>
        </w:rPr>
        <w:t>arkb.torgi@mail.ru</w:t>
      </w:r>
      <w:r>
        <w:fldChar w:fldCharType="end"/>
      </w:r>
    </w:p>
    <w:p>
      <w:pPr>
        <w:pStyle w:val="Style12"/>
        <w:widowControl w:val="0"/>
        <w:keepNext w:val="0"/>
        <w:keepLines w:val="0"/>
        <w:shd w:val="clear" w:color="auto" w:fill="auto"/>
        <w:bidi w:val="0"/>
        <w:jc w:val="left"/>
        <w:spacing w:before="0" w:after="240" w:line="317" w:lineRule="exact"/>
        <w:ind w:left="20" w:right="320" w:firstLine="0"/>
      </w:pPr>
      <w:r>
        <w:rPr>
          <w:lang w:val="ru-RU" w:eastAsia="ru-RU" w:bidi="ru-RU"/>
          <w:w w:val="100"/>
          <w:spacing w:val="0"/>
          <w:color w:val="000000"/>
          <w:position w:val="0"/>
        </w:rPr>
        <w:t xml:space="preserve">Комитет Республики Адыгея по регулированию контрактной системы в сфере закупок 385000, город Майкоп, улица Советская, 176 </w:t>
      </w:r>
      <w:r>
        <w:rPr>
          <w:lang w:val="en-US" w:eastAsia="en-US" w:bidi="en-US"/>
          <w:w w:val="100"/>
          <w:spacing w:val="0"/>
          <w:color w:val="000000"/>
          <w:position w:val="0"/>
        </w:rPr>
        <w:t xml:space="preserve">e-mail: </w:t>
      </w:r>
      <w:r>
        <w:fldChar w:fldCharType="begin"/>
      </w:r>
      <w:r>
        <w:rPr>
          <w:color w:val="000000"/>
        </w:rPr>
        <w:instrText> HYPERLINK "mailto:info@zakupkira.ru" </w:instrText>
      </w:r>
      <w:r>
        <w:fldChar w:fldCharType="separate"/>
      </w:r>
      <w:r>
        <w:rPr>
          <w:rStyle w:val="Hyperlink"/>
          <w:lang w:val="en-US" w:eastAsia="en-US" w:bidi="en-US"/>
          <w:w w:val="100"/>
          <w:spacing w:val="0"/>
          <w:position w:val="0"/>
        </w:rPr>
        <w:t>info@zakupkira.ru</w:t>
      </w:r>
      <w:r>
        <w:fldChar w:fldCharType="end"/>
      </w:r>
    </w:p>
    <w:p>
      <w:pPr>
        <w:pStyle w:val="Style12"/>
        <w:widowControl w:val="0"/>
        <w:keepNext w:val="0"/>
        <w:keepLines w:val="0"/>
        <w:shd w:val="clear" w:color="auto" w:fill="auto"/>
        <w:bidi w:val="0"/>
        <w:jc w:val="left"/>
        <w:spacing w:before="0" w:after="0" w:line="317" w:lineRule="exact"/>
        <w:ind w:left="20" w:right="320" w:firstLine="0"/>
      </w:pPr>
      <w:r>
        <w:rPr>
          <w:lang w:val="ru-RU" w:eastAsia="ru-RU" w:bidi="ru-RU"/>
          <w:w w:val="100"/>
          <w:spacing w:val="0"/>
          <w:color w:val="000000"/>
          <w:position w:val="0"/>
        </w:rPr>
        <w:t>АО «Единая электронная торговая площадка» 115114, город Москва, улица Кожевническая, 14, строение 5</w:t>
      </w:r>
    </w:p>
    <w:p>
      <w:pPr>
        <w:pStyle w:val="Style12"/>
        <w:widowControl w:val="0"/>
        <w:keepNext w:val="0"/>
        <w:keepLines w:val="0"/>
        <w:shd w:val="clear" w:color="auto" w:fill="auto"/>
        <w:bidi w:val="0"/>
        <w:jc w:val="left"/>
        <w:spacing w:before="0" w:after="0" w:line="317" w:lineRule="exact"/>
        <w:ind w:left="20" w:right="0" w:firstLine="0"/>
        <w:sectPr>
          <w:type w:val="continuous"/>
          <w:pgSz w:w="11906" w:h="16838"/>
          <w:pgMar w:top="913" w:left="4609" w:right="726" w:bottom="865"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РЕШЕНИЕ</w:t>
      </w:r>
    </w:p>
    <w:p>
      <w:pPr>
        <w:pStyle w:val="Style12"/>
        <w:widowControl w:val="0"/>
        <w:keepNext w:val="0"/>
        <w:keepLines w:val="0"/>
        <w:shd w:val="clear" w:color="auto" w:fill="auto"/>
        <w:bidi w:val="0"/>
        <w:spacing w:before="0" w:after="109" w:line="322" w:lineRule="exact"/>
        <w:ind w:left="20" w:right="0" w:firstLine="0"/>
      </w:pPr>
      <w:r>
        <w:rPr>
          <w:lang w:val="ru-RU" w:eastAsia="ru-RU" w:bidi="ru-RU"/>
          <w:w w:val="100"/>
          <w:spacing w:val="0"/>
          <w:color w:val="000000"/>
          <w:position w:val="0"/>
        </w:rPr>
        <w:t>по делу №001/06/67-516/2021 о нарушении законодательства о контрактной системе в сфере закупок</w:t>
      </w:r>
    </w:p>
    <w:p>
      <w:pPr>
        <w:pStyle w:val="Style12"/>
        <w:tabs>
          <w:tab w:leader="none" w:pos="8871" w:val="right"/>
          <w:tab w:leader="none" w:pos="9418" w:val="center"/>
        </w:tabs>
        <w:widowControl w:val="0"/>
        <w:keepNext w:val="0"/>
        <w:keepLines w:val="0"/>
        <w:shd w:val="clear" w:color="auto" w:fill="auto"/>
        <w:bidi w:val="0"/>
        <w:jc w:val="both"/>
        <w:spacing w:before="0" w:after="58" w:line="260" w:lineRule="exact"/>
        <w:ind w:left="20" w:right="0" w:firstLine="0"/>
      </w:pPr>
      <w:r>
        <w:rPr>
          <w:lang w:val="ru-RU" w:eastAsia="ru-RU" w:bidi="ru-RU"/>
          <w:w w:val="100"/>
          <w:spacing w:val="0"/>
          <w:color w:val="000000"/>
          <w:position w:val="0"/>
        </w:rPr>
        <w:t>27 октября 2021 года</w:t>
        <w:tab/>
        <w:t>город</w:t>
        <w:tab/>
        <w:t>Майкоп</w:t>
      </w:r>
    </w:p>
    <w:p>
      <w:pPr>
        <w:pStyle w:val="Style12"/>
        <w:widowControl w:val="0"/>
        <w:keepNext w:val="0"/>
        <w:keepLines w:val="0"/>
        <w:shd w:val="clear" w:color="auto" w:fill="auto"/>
        <w:bidi w:val="0"/>
        <w:jc w:val="left"/>
        <w:spacing w:before="0" w:after="64" w:line="322" w:lineRule="exact"/>
        <w:ind w:left="20" w:right="4300" w:firstLine="0"/>
      </w:pPr>
      <w:r>
        <w:rPr>
          <w:lang w:val="ru-RU" w:eastAsia="ru-RU" w:bidi="ru-RU"/>
          <w:w w:val="100"/>
          <w:spacing w:val="0"/>
          <w:color w:val="000000"/>
          <w:position w:val="0"/>
        </w:rPr>
        <w:t>Резолютивная часть оглашена 26.10.2021 Решение в полном объеме изготовлено 27.10.2021</w:t>
      </w:r>
    </w:p>
    <w:p>
      <w:pPr>
        <w:pStyle w:val="Style12"/>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Комиссия Управления Федеральной антимонопольной службы по Республике Адыгея по контролю в сфере закупок (далее - Комиссия УФАС) в составе: заместителя председателя Комиссии УФАС - Вдовиной ОТО., начальника отдела; членов Комиссии УФАС: Вдовиной О.Ю., начальника отдела; Блягоза Р.Х., главного специалиста-эксперта, Чича </w:t>
      </w:r>
      <w:r>
        <w:rPr>
          <w:lang w:val="en-US" w:eastAsia="en-US" w:bidi="en-US"/>
          <w:w w:val="100"/>
          <w:spacing w:val="0"/>
          <w:color w:val="000000"/>
          <w:position w:val="0"/>
        </w:rPr>
        <w:t xml:space="preserve">P.M., </w:t>
      </w:r>
      <w:r>
        <w:rPr>
          <w:lang w:val="ru-RU" w:eastAsia="ru-RU" w:bidi="ru-RU"/>
          <w:w w:val="100"/>
          <w:spacing w:val="0"/>
          <w:color w:val="000000"/>
          <w:position w:val="0"/>
        </w:rPr>
        <w:t>ведущего специалиста-эксперта, с участием представителя Уполномоченного органа - Комитета Республики Адыгея по регулированию контрактной системы в сфере закупок (далее - Уполномоченный орган) Гусарук З.А. (доверенность от 15.01.2021), рассмотрев жалобу Заявителя - ООО «СЕЛЕНИТ-МЕД» (далее - Заявитель) от 19.10.2021 на действия Единой комиссии Уполномоченного органа по необоснованному отказу в допу&lt;^с|^^^:тию</w:t>
        <w:br w:type="page"/>
        <w:t>в электронном аукционе на поставку лекарственных препаратов (извещение №</w:t>
      </w:r>
      <w:r>
        <w:rPr>
          <w:rStyle w:val="CharStyle19"/>
        </w:rPr>
        <w:t>0176200005521001555</w:t>
      </w:r>
      <w:r>
        <w:rPr>
          <w:lang w:val="ru-RU" w:eastAsia="ru-RU" w:bidi="ru-RU"/>
          <w:w w:val="100"/>
          <w:spacing w:val="0"/>
          <w:color w:val="000000"/>
          <w:position w:val="0"/>
        </w:rPr>
        <w:t>) (далее - Аукцион), проведя внеплановую проверку на основании части 15 статьи 99 Федерального закона от 05.04.2013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2"/>
        <w:widowControl w:val="0"/>
        <w:keepNext w:val="0"/>
        <w:keepLines w:val="0"/>
        <w:shd w:val="clear" w:color="auto" w:fill="auto"/>
        <w:bidi w:val="0"/>
        <w:jc w:val="left"/>
        <w:spacing w:before="0" w:after="0" w:line="322" w:lineRule="exact"/>
        <w:ind w:left="4460" w:right="0" w:firstLine="0"/>
      </w:pPr>
      <w:r>
        <w:rPr>
          <w:lang w:val="ru-RU" w:eastAsia="ru-RU" w:bidi="ru-RU"/>
          <w:w w:val="100"/>
          <w:spacing w:val="0"/>
          <w:color w:val="000000"/>
          <w:position w:val="0"/>
        </w:rPr>
        <w:t>УСТАНОВИЛА:</w:t>
      </w:r>
    </w:p>
    <w:p>
      <w:pPr>
        <w:pStyle w:val="Style12"/>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что отклонение заявки ООО «СЕЛЕНИТ-МЕД» по первой части является неправомерным, так как Заявителем предложено два однокомпонентных препарата, обладающие необходимыми терапевтическими свойствами.</w:t>
      </w:r>
    </w:p>
    <w:p>
      <w:pPr>
        <w:pStyle w:val="Style12"/>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На основании изложенного Заявитель просит приостановить заключение контракта, провести внеплановую проверку, выдать предписание об устранении нарушений.</w:t>
      </w:r>
    </w:p>
    <w:p>
      <w:pPr>
        <w:pStyle w:val="Style12"/>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12"/>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 xml:space="preserve">Уполномоченным органом на официальном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(далее - Официальный сайт) 07.10.2021 размещены извещение о проведении закупки и документация Аукциона.</w:t>
      </w:r>
    </w:p>
    <w:p>
      <w:pPr>
        <w:pStyle w:val="Style12"/>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Начальная (максимальная) цена контракта - 227 276,80 рублей.</w:t>
      </w:r>
    </w:p>
    <w:p>
      <w:pPr>
        <w:pStyle w:val="Style12"/>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Источник финансирования - Внебюджетные средства.</w:t>
      </w:r>
    </w:p>
    <w:p>
      <w:pPr>
        <w:pStyle w:val="Style12"/>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Аукционная документация утверждена главным врачом Государственного бюджетного учреждения здравоохранения Республики Адыгея Адыгейская республиканская клиническая больница Н.С. Чеужевой - 07.10.2021.</w:t>
      </w:r>
    </w:p>
    <w:p>
      <w:pPr>
        <w:pStyle w:val="Style12"/>
        <w:tabs>
          <w:tab w:leader="none" w:pos="1292" w:val="left"/>
        </w:tabs>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Согласно протоколу №0176200005521001555/1-А рассмотрения заявок на участие в электронном аукционе от 18.10.2021 (далее - Протокол) на участие в Аукционе было подано 8 заявок. Заявителю (ООО «СЕЛЕНИТ-МЕД») отказано в допуске к участию в Аукционе по следующим основаниям: «На основании п. 2 части 4 ст. 67 Федерального закона № 44-ФЗ: показатели лекарственных препаратов в пп. 4 таблицы первой части заявки не соответствуют пп. 4.1.1 п. 4 «Инструкция по заполнению заявки на участие в электронном аукционе» части I, характеристикам лекарственного препарата, предусмотренного в пп. 4 п. 4 «Описание объекта закупки (перечень лекарственных препаратов)» таблицы части IV «Техническая часть документации об электронном аукционе» документации об аукционе, а именно:</w:t>
        <w:tab/>
      </w:r>
      <w:r>
        <w:rPr>
          <w:rStyle w:val="CharStyle20"/>
        </w:rPr>
        <w:t>«Вилдаглиптин+метформин Таблетки, покрытые оболочкой 50</w:t>
      </w:r>
    </w:p>
    <w:p>
      <w:pPr>
        <w:pStyle w:val="Style6"/>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мг+1000 мг/таблетки покрытые пленочной оболочкой50 мг+1000 мг».</w:t>
      </w:r>
    </w:p>
    <w:p>
      <w:pPr>
        <w:pStyle w:val="Style21"/>
        <w:framePr w:w="10229" w:wrap="notBeside" w:vAnchor="text" w:hAnchor="text" w:xAlign="center" w:y="1"/>
        <w:tabs>
          <w:tab w:leader="underscore" w:pos="10186"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пункте 4 части IV. «Техническая часть документации об электронном аукционе» (далее - Техническое задание) содержится, установленное Заказчиком </w:t>
      </w:r>
      <w:r>
        <w:rPr>
          <w:rStyle w:val="CharStyle23"/>
        </w:rPr>
        <w:t>описание объекта закупки (Перечень лекарственных препаратов):</w:t>
      </w:r>
      <w:r>
        <w:rPr>
          <w:lang w:val="ru-RU" w:eastAsia="ru-RU" w:bidi="ru-RU"/>
          <w:w w:val="100"/>
          <w:spacing w:val="0"/>
          <w:color w:val="000000"/>
          <w:position w:val="0"/>
        </w:rPr>
        <w:tab/>
      </w:r>
    </w:p>
    <w:tbl>
      <w:tblPr>
        <w:tblOverlap w:val="never"/>
        <w:tblLayout w:type="fixed"/>
        <w:jc w:val="center"/>
      </w:tblPr>
      <w:tblGrid>
        <w:gridCol w:w="442"/>
        <w:gridCol w:w="2990"/>
        <w:gridCol w:w="5510"/>
        <w:gridCol w:w="571"/>
        <w:gridCol w:w="715"/>
      </w:tblGrid>
      <w:tr>
        <w:trPr>
          <w:trHeight w:val="274" w:hRule="exact"/>
        </w:trPr>
        <w:tc>
          <w:tcPr>
            <w:shd w:val="clear" w:color="auto" w:fill="FFFFFF"/>
            <w:tcBorders>
              <w:left w:val="single" w:sz="4"/>
              <w:top w:val="single" w:sz="4"/>
            </w:tcBorders>
            <w:vAlign w:val="bottom"/>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4.</w:t>
            </w:r>
          </w:p>
        </w:tc>
        <w:tc>
          <w:tcPr>
            <w:shd w:val="clear" w:color="auto" w:fill="FFFFFF"/>
            <w:gridSpan w:val="2"/>
            <w:tcBorders>
              <w:left w:val="single" w:sz="4"/>
              <w:top w:val="single" w:sz="4"/>
            </w:tcBorders>
            <w:vAlign w:val="bottom"/>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4"/>
              </w:rPr>
              <w:t>Описание объекта закупки (Перечень лекарственных препаратов)</w:t>
            </w:r>
          </w:p>
        </w:tc>
        <w:tc>
          <w:tcPr>
            <w:shd w:val="clear" w:color="auto" w:fill="FFFFFF"/>
            <w:tcBorders>
              <w:top w:val="single" w:sz="4"/>
            </w:tcBorders>
            <w:vAlign w:val="top"/>
          </w:tcPr>
          <w:p>
            <w:pPr>
              <w:framePr w:w="10229"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10229" w:wrap="notBeside" w:vAnchor="text" w:hAnchor="text" w:xAlign="center" w:y="1"/>
              <w:widowControl w:val="0"/>
              <w:rPr>
                <w:sz w:val="10"/>
                <w:szCs w:val="10"/>
              </w:rPr>
            </w:pPr>
          </w:p>
        </w:tc>
      </w:tr>
      <w:tr>
        <w:trPr>
          <w:trHeight w:val="1027" w:hRule="exact"/>
        </w:trPr>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1</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4"/>
              </w:rPr>
              <w:t>Метформин</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235" w:lineRule="exact"/>
              <w:ind w:left="140" w:right="0" w:firstLine="0"/>
            </w:pPr>
            <w:r>
              <w:rPr>
                <w:rStyle w:val="CharStyle24"/>
              </w:rPr>
              <w:t>таблетки, покрытые оболочкой 850мг /таблетки пролонгированного действия покрытые пленочной оболочкой 850мг/таблетки с пролонгированным высвобождением покрытые пленочной оболочкой 850мг</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4"/>
              </w:rPr>
              <w:t>Шт</w:t>
            </w:r>
          </w:p>
        </w:tc>
        <w:tc>
          <w:tcPr>
            <w:shd w:val="clear" w:color="auto" w:fill="FFFFFF"/>
            <w:tcBorders>
              <w:left w:val="single" w:sz="4"/>
              <w:righ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2100</w:t>
            </w:r>
          </w:p>
        </w:tc>
      </w:tr>
      <w:tr>
        <w:trPr>
          <w:trHeight w:val="1013" w:hRule="exact"/>
        </w:trPr>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2</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4"/>
              </w:rPr>
              <w:t>Метформин</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4"/>
              </w:rPr>
              <w:t>таблетки с пролонгированным высвобождением 1000 мг /таблетки пролонгированного действия покрытые пленочной оболочкой 1000 мг/Таблетки с пролонгированным высвобождением покрытые пленочной оболочкой 1000 мг</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4"/>
              </w:rPr>
              <w:t>Шт</w:t>
            </w:r>
          </w:p>
        </w:tc>
        <w:tc>
          <w:tcPr>
            <w:shd w:val="clear" w:color="auto" w:fill="FFFFFF"/>
            <w:tcBorders>
              <w:left w:val="single" w:sz="4"/>
              <w:righ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2100</w:t>
            </w:r>
          </w:p>
        </w:tc>
      </w:tr>
      <w:tr>
        <w:trPr>
          <w:trHeight w:val="754" w:hRule="exact"/>
        </w:trPr>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3</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4"/>
              </w:rPr>
              <w:t>Гликлазид</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221" w:lineRule="exact"/>
              <w:ind w:left="140" w:right="0" w:firstLine="0"/>
            </w:pPr>
            <w:r>
              <w:rPr>
                <w:rStyle w:val="CharStyle24"/>
              </w:rPr>
              <w:t>Таблетки с модифицированным высвобождением бОмг/таблетки с пролонгированным высвобождением 60мг/ таблетки пролонгированного действия 60 мг</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4"/>
              </w:rPr>
              <w:t>Шт</w:t>
            </w:r>
          </w:p>
        </w:tc>
        <w:tc>
          <w:tcPr>
            <w:shd w:val="clear" w:color="auto" w:fill="FFFFFF"/>
            <w:tcBorders>
              <w:left w:val="single" w:sz="4"/>
              <w:righ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600</w:t>
            </w:r>
          </w:p>
        </w:tc>
      </w:tr>
      <w:tr>
        <w:trPr>
          <w:trHeight w:val="538" w:hRule="exact"/>
        </w:trPr>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4</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4"/>
              </w:rPr>
              <w:t>Вилдаглиптин+метформин</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4"/>
              </w:rPr>
              <w:t>Таблетки, покрытые оболочкой 50 мг+1000 мг/таблетки покрытые пленочной оболочкой50 мг+1000 мг</w:t>
            </w:r>
          </w:p>
        </w:tc>
        <w:tc>
          <w:tcPr>
            <w:shd w:val="clear" w:color="auto" w:fill="FFFFFF"/>
            <w:tcBorders>
              <w:left w:val="single" w:sz="4"/>
              <w:top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4"/>
              </w:rPr>
              <w:t>Шт</w:t>
            </w:r>
          </w:p>
        </w:tc>
        <w:tc>
          <w:tcPr>
            <w:shd w:val="clear" w:color="auto" w:fill="FFFFFF"/>
            <w:tcBorders>
              <w:left w:val="single" w:sz="4"/>
              <w:right w:val="single" w:sz="4"/>
              <w:top w:val="single" w:sz="4"/>
            </w:tcBorders>
            <w:vAlign w:val="center"/>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1200</w:t>
            </w:r>
          </w:p>
        </w:tc>
      </w:tr>
      <w:tr>
        <w:trPr>
          <w:trHeight w:val="557" w:hRule="exact"/>
        </w:trPr>
        <w:tc>
          <w:tcPr>
            <w:shd w:val="clear" w:color="auto" w:fill="FFFFFF"/>
            <w:tcBorders>
              <w:left w:val="single" w:sz="4"/>
              <w:top w:val="single" w:sz="4"/>
              <w:bottom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5</w:t>
            </w:r>
          </w:p>
        </w:tc>
        <w:tc>
          <w:tcPr>
            <w:shd w:val="clear" w:color="auto" w:fill="FFFFFF"/>
            <w:tcBorders>
              <w:left w:val="single" w:sz="4"/>
              <w:top w:val="single" w:sz="4"/>
              <w:bottom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20" w:right="0" w:firstLine="0"/>
            </w:pPr>
            <w:r>
              <w:rPr>
                <w:rStyle w:val="CharStyle24"/>
              </w:rPr>
              <w:t>Метформин+ситаглиптин</w:t>
            </w:r>
          </w:p>
        </w:tc>
        <w:tc>
          <w:tcPr>
            <w:shd w:val="clear" w:color="auto" w:fill="FFFFFF"/>
            <w:tcBorders>
              <w:left w:val="single" w:sz="4"/>
              <w:top w:val="single" w:sz="4"/>
              <w:bottom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230" w:lineRule="exact"/>
              <w:ind w:left="140" w:right="0" w:firstLine="0"/>
            </w:pPr>
            <w:r>
              <w:rPr>
                <w:rStyle w:val="CharStyle24"/>
              </w:rPr>
              <w:t>Таблетки, покрытые оболочкой 1000 мг+50 мг/Таблетки покрытые пленочной оболочкой 1000 мг+50 мг</w:t>
            </w:r>
          </w:p>
        </w:tc>
        <w:tc>
          <w:tcPr>
            <w:shd w:val="clear" w:color="auto" w:fill="FFFFFF"/>
            <w:tcBorders>
              <w:left w:val="single" w:sz="4"/>
              <w:top w:val="single" w:sz="4"/>
              <w:bottom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4"/>
              </w:rPr>
              <w:t>Шт</w:t>
            </w:r>
          </w:p>
        </w:tc>
        <w:tc>
          <w:tcPr>
            <w:shd w:val="clear" w:color="auto" w:fill="FFFFFF"/>
            <w:tcBorders>
              <w:left w:val="single" w:sz="4"/>
              <w:right w:val="single" w:sz="4"/>
              <w:top w:val="single" w:sz="4"/>
              <w:bottom w:val="single" w:sz="4"/>
            </w:tcBorders>
            <w:vAlign w:val="top"/>
          </w:tcPr>
          <w:p>
            <w:pPr>
              <w:pStyle w:val="Style12"/>
              <w:framePr w:w="10229" w:wrap="notBeside" w:vAnchor="text" w:hAnchor="text" w:xAlign="center" w:y="1"/>
              <w:widowControl w:val="0"/>
              <w:keepNext w:val="0"/>
              <w:keepLines w:val="0"/>
              <w:shd w:val="clear" w:color="auto" w:fill="auto"/>
              <w:bidi w:val="0"/>
              <w:jc w:val="left"/>
              <w:spacing w:before="0" w:after="0" w:line="180" w:lineRule="exact"/>
              <w:ind w:left="180" w:right="0" w:firstLine="0"/>
            </w:pPr>
            <w:r>
              <w:rPr>
                <w:rStyle w:val="CharStyle24"/>
              </w:rPr>
              <w:t>2240</w:t>
            </w:r>
          </w:p>
        </w:tc>
      </w:tr>
    </w:tbl>
    <w:p>
      <w:pPr>
        <w:widowControl w:val="0"/>
        <w:rPr>
          <w:sz w:val="2"/>
          <w:szCs w:val="2"/>
        </w:rPr>
      </w:pPr>
    </w:p>
    <w:p>
      <w:pPr>
        <w:pStyle w:val="Style21"/>
        <w:framePr w:w="10224" w:wrap="notBeside" w:vAnchor="text" w:hAnchor="text" w:xAlign="center" w:y="1"/>
        <w:tabs>
          <w:tab w:leader="underscore" w:pos="1699" w:val="left"/>
          <w:tab w:leader="underscore" w:pos="3523" w:val="left"/>
          <w:tab w:leader="underscore" w:pos="8352" w:val="left"/>
          <w:tab w:leader="underscore" w:pos="10195" w:val="left"/>
        </w:tabs>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 xml:space="preserve">Между тем, в заявке Заявителя содержатся следующие характеристики </w:t>
      </w:r>
      <w:r>
        <w:rPr>
          <w:rStyle w:val="CharStyle23"/>
        </w:rPr>
        <w:t>товаров:</w:t>
      </w:r>
      <w:r>
        <w:rPr>
          <w:lang w:val="ru-RU" w:eastAsia="ru-RU" w:bidi="ru-RU"/>
          <w:w w:val="100"/>
          <w:spacing w:val="0"/>
          <w:color w:val="000000"/>
          <w:position w:val="0"/>
        </w:rPr>
        <w:tab/>
        <w:tab/>
        <w:tab/>
        <w:tab/>
      </w:r>
    </w:p>
    <w:tbl>
      <w:tblPr>
        <w:tblOverlap w:val="never"/>
        <w:tblLayout w:type="fixed"/>
        <w:jc w:val="center"/>
      </w:tblPr>
      <w:tblGrid>
        <w:gridCol w:w="293"/>
        <w:gridCol w:w="1421"/>
        <w:gridCol w:w="1829"/>
        <w:gridCol w:w="4824"/>
        <w:gridCol w:w="571"/>
        <w:gridCol w:w="571"/>
        <w:gridCol w:w="715"/>
      </w:tblGrid>
      <w:tr>
        <w:trPr>
          <w:trHeight w:val="528" w:hRule="exact"/>
        </w:trPr>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1</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Метформин</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Метформин-ВЕРТЕКС</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5"/>
              </w:rPr>
              <w:t>таблетки, покрытые пленочной оболочкой, 850 мг, 10 шт. - упаковки ячейковые контурные (6) - пачки картонные</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Шт</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2100</w:t>
            </w:r>
          </w:p>
        </w:tc>
        <w:tc>
          <w:tcPr>
            <w:shd w:val="clear" w:color="auto" w:fill="FFFFFF"/>
            <w:tcBorders>
              <w:left w:val="single" w:sz="4"/>
              <w:righ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35</w:t>
            </w:r>
          </w:p>
        </w:tc>
      </w:tr>
      <w:tr>
        <w:trPr>
          <w:trHeight w:val="509" w:hRule="exact"/>
        </w:trPr>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2</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Метформин</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Метформин Лонг</w:t>
            </w:r>
          </w:p>
        </w:tc>
        <w:tc>
          <w:tcPr>
            <w:shd w:val="clear" w:color="auto" w:fill="FFFFFF"/>
            <w:tcBorders>
              <w:left w:val="single" w:sz="4"/>
              <w:top w:val="single" w:sz="4"/>
            </w:tcBorders>
            <w:vAlign w:val="top"/>
          </w:tcPr>
          <w:p>
            <w:pPr>
              <w:pStyle w:val="Style12"/>
              <w:framePr w:w="10224"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5"/>
              </w:rPr>
              <w:t>таблетки с пролонгированным высвобождением, 1000 мг, 60 шт. - банки (1) - пачки картонные</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Шт</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2100</w:t>
            </w:r>
          </w:p>
        </w:tc>
        <w:tc>
          <w:tcPr>
            <w:shd w:val="clear" w:color="auto" w:fill="FFFFFF"/>
            <w:tcBorders>
              <w:left w:val="single" w:sz="4"/>
              <w:righ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35</w:t>
            </w:r>
          </w:p>
        </w:tc>
      </w:tr>
      <w:tr>
        <w:trPr>
          <w:trHeight w:val="533" w:hRule="exact"/>
        </w:trPr>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3</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Гликлазид</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87" w:lineRule="exact"/>
              <w:ind w:left="140" w:right="0" w:firstLine="0"/>
            </w:pPr>
            <w:r>
              <w:rPr>
                <w:rStyle w:val="CharStyle25"/>
              </w:rPr>
              <w:t xml:space="preserve">Гликлазид </w:t>
            </w:r>
            <w:r>
              <w:rPr>
                <w:rStyle w:val="CharStyle25"/>
                <w:lang w:val="en-US" w:eastAsia="en-US" w:bidi="en-US"/>
              </w:rPr>
              <w:t xml:space="preserve">MB </w:t>
            </w:r>
            <w:r>
              <w:rPr>
                <w:rStyle w:val="CharStyle25"/>
              </w:rPr>
              <w:t>- ВЕРТЕКС</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таблетки с пролонгированным высвобождением, 60 мг, 15 шт. - упаковки ячейковые контурные (2) - пачки картонные</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Шт</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600</w:t>
            </w:r>
          </w:p>
        </w:tc>
        <w:tc>
          <w:tcPr>
            <w:shd w:val="clear" w:color="auto" w:fill="FFFFFF"/>
            <w:tcBorders>
              <w:left w:val="single" w:sz="4"/>
              <w:righ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20</w:t>
            </w:r>
          </w:p>
        </w:tc>
      </w:tr>
      <w:tr>
        <w:trPr>
          <w:trHeight w:val="566" w:hRule="exact"/>
        </w:trPr>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4</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Вилдаглиптин</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Галвус</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таблетки, 50 мг, 14 шт. - блистер (2) - пачка картонная</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Шт</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1204</w:t>
            </w:r>
          </w:p>
        </w:tc>
        <w:tc>
          <w:tcPr>
            <w:shd w:val="clear" w:color="auto" w:fill="FFFFFF"/>
            <w:tcBorders>
              <w:left w:val="single" w:sz="4"/>
              <w:righ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43</w:t>
            </w:r>
          </w:p>
        </w:tc>
      </w:tr>
      <w:tr>
        <w:trPr>
          <w:trHeight w:val="514"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МетсЬопм ни</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Метформин</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82" w:lineRule="exact"/>
              <w:ind w:left="120" w:right="0" w:firstLine="0"/>
            </w:pPr>
            <w:r>
              <w:rPr>
                <w:rStyle w:val="CharStyle25"/>
              </w:rPr>
              <w:t>таблетки, 1000 мг, 10 шт. - упаковки ячейковые контурные (6) - пачки картонные</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Шт</w:t>
            </w:r>
          </w:p>
        </w:tc>
        <w:tc>
          <w:tcPr>
            <w:shd w:val="clear" w:color="auto" w:fill="FFFFFF"/>
            <w:tcBorders>
              <w:lef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1200</w:t>
            </w:r>
          </w:p>
        </w:tc>
        <w:tc>
          <w:tcPr>
            <w:shd w:val="clear" w:color="auto" w:fill="FFFFFF"/>
            <w:tcBorders>
              <w:left w:val="single" w:sz="4"/>
              <w:right w:val="single" w:sz="4"/>
              <w:top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20</w:t>
            </w:r>
          </w:p>
        </w:tc>
      </w:tr>
      <w:tr>
        <w:trPr>
          <w:trHeight w:val="533" w:hRule="exact"/>
        </w:trPr>
        <w:tc>
          <w:tcPr>
            <w:shd w:val="clear" w:color="auto" w:fill="FFFFFF"/>
            <w:tcBorders>
              <w:left w:val="single" w:sz="4"/>
              <w:top w:val="single" w:sz="4"/>
              <w:bottom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5</w:t>
            </w:r>
          </w:p>
        </w:tc>
        <w:tc>
          <w:tcPr>
            <w:shd w:val="clear" w:color="auto" w:fill="FFFFFF"/>
            <w:tcBorders>
              <w:left w:val="single" w:sz="4"/>
              <w:top w:val="single" w:sz="4"/>
              <w:bottom w:val="single" w:sz="4"/>
            </w:tcBorders>
            <w:vAlign w:val="top"/>
          </w:tcPr>
          <w:p>
            <w:pPr>
              <w:pStyle w:val="Style12"/>
              <w:framePr w:w="10224" w:wrap="notBeside" w:vAnchor="text" w:hAnchor="text" w:xAlign="center" w:y="1"/>
              <w:widowControl w:val="0"/>
              <w:keepNext w:val="0"/>
              <w:keepLines w:val="0"/>
              <w:shd w:val="clear" w:color="auto" w:fill="auto"/>
              <w:bidi w:val="0"/>
              <w:jc w:val="left"/>
              <w:spacing w:before="0" w:after="60" w:line="140" w:lineRule="exact"/>
              <w:ind w:left="140" w:right="0" w:firstLine="0"/>
            </w:pPr>
            <w:r>
              <w:rPr>
                <w:rStyle w:val="CharStyle25"/>
              </w:rPr>
              <w:t>Метформин+сит</w:t>
            </w:r>
          </w:p>
          <w:p>
            <w:pPr>
              <w:pStyle w:val="Style12"/>
              <w:framePr w:w="10224" w:wrap="notBeside" w:vAnchor="text" w:hAnchor="text" w:xAlign="center" w:y="1"/>
              <w:widowControl w:val="0"/>
              <w:keepNext w:val="0"/>
              <w:keepLines w:val="0"/>
              <w:shd w:val="clear" w:color="auto" w:fill="auto"/>
              <w:bidi w:val="0"/>
              <w:jc w:val="left"/>
              <w:spacing w:before="60" w:after="0" w:line="140" w:lineRule="exact"/>
              <w:ind w:left="140" w:right="0" w:firstLine="0"/>
            </w:pPr>
            <w:r>
              <w:rPr>
                <w:rStyle w:val="CharStyle25"/>
              </w:rPr>
              <w:t>аглиптин</w:t>
            </w:r>
          </w:p>
        </w:tc>
        <w:tc>
          <w:tcPr>
            <w:shd w:val="clear" w:color="auto" w:fill="FFFFFF"/>
            <w:tcBorders>
              <w:left w:val="single" w:sz="4"/>
              <w:top w:val="single" w:sz="4"/>
              <w:bottom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Янумет</w:t>
            </w:r>
          </w:p>
        </w:tc>
        <w:tc>
          <w:tcPr>
            <w:shd w:val="clear" w:color="auto" w:fill="FFFFFF"/>
            <w:tcBorders>
              <w:left w:val="single" w:sz="4"/>
              <w:top w:val="single" w:sz="4"/>
              <w:bottom w:val="single" w:sz="4"/>
            </w:tcBorders>
            <w:vAlign w:val="top"/>
          </w:tcPr>
          <w:p>
            <w:pPr>
              <w:pStyle w:val="Style12"/>
              <w:framePr w:w="10224" w:wrap="notBeside" w:vAnchor="text" w:hAnchor="text" w:xAlign="center" w:y="1"/>
              <w:widowControl w:val="0"/>
              <w:keepNext w:val="0"/>
              <w:keepLines w:val="0"/>
              <w:shd w:val="clear" w:color="auto" w:fill="auto"/>
              <w:bidi w:val="0"/>
              <w:jc w:val="left"/>
              <w:spacing w:before="0" w:after="0" w:line="187" w:lineRule="exact"/>
              <w:ind w:left="120" w:right="0" w:firstLine="0"/>
            </w:pPr>
            <w:r>
              <w:rPr>
                <w:rStyle w:val="CharStyle25"/>
              </w:rPr>
              <w:t>таблетки покрытые пленочной оболочкой 1000 мг+50 мг 14 шт. - блистеры (4 шт.) - пачки картонные (56 шт.) - По рецепту</w:t>
            </w:r>
          </w:p>
        </w:tc>
        <w:tc>
          <w:tcPr>
            <w:shd w:val="clear" w:color="auto" w:fill="FFFFFF"/>
            <w:tcBorders>
              <w:left w:val="single" w:sz="4"/>
              <w:top w:val="single" w:sz="4"/>
              <w:bottom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Шт</w:t>
            </w:r>
          </w:p>
        </w:tc>
        <w:tc>
          <w:tcPr>
            <w:shd w:val="clear" w:color="auto" w:fill="FFFFFF"/>
            <w:tcBorders>
              <w:left w:val="single" w:sz="4"/>
              <w:top w:val="single" w:sz="4"/>
              <w:bottom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40" w:right="0" w:firstLine="0"/>
            </w:pPr>
            <w:r>
              <w:rPr>
                <w:rStyle w:val="CharStyle25"/>
              </w:rPr>
              <w:t>2240</w:t>
            </w:r>
          </w:p>
        </w:tc>
        <w:tc>
          <w:tcPr>
            <w:shd w:val="clear" w:color="auto" w:fill="FFFFFF"/>
            <w:tcBorders>
              <w:left w:val="single" w:sz="4"/>
              <w:right w:val="single" w:sz="4"/>
              <w:top w:val="single" w:sz="4"/>
              <w:bottom w:val="single" w:sz="4"/>
            </w:tcBorders>
            <w:vAlign w:val="center"/>
          </w:tcPr>
          <w:p>
            <w:pPr>
              <w:pStyle w:val="Style12"/>
              <w:framePr w:w="10224" w:wrap="notBeside" w:vAnchor="text" w:hAnchor="text" w:xAlign="center" w:y="1"/>
              <w:widowControl w:val="0"/>
              <w:keepNext w:val="0"/>
              <w:keepLines w:val="0"/>
              <w:shd w:val="clear" w:color="auto" w:fill="auto"/>
              <w:bidi w:val="0"/>
              <w:jc w:val="left"/>
              <w:spacing w:before="0" w:after="0" w:line="140" w:lineRule="exact"/>
              <w:ind w:left="120" w:right="0" w:firstLine="0"/>
            </w:pPr>
            <w:r>
              <w:rPr>
                <w:rStyle w:val="CharStyle25"/>
              </w:rPr>
              <w:t>40</w:t>
            </w:r>
          </w:p>
        </w:tc>
      </w:tr>
    </w:tbl>
    <w:p>
      <w:pPr>
        <w:widowControl w:val="0"/>
        <w:rPr>
          <w:sz w:val="2"/>
          <w:szCs w:val="2"/>
        </w:rPr>
      </w:pPr>
    </w:p>
    <w:p>
      <w:pPr>
        <w:pStyle w:val="Style12"/>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Часть 1 статьи 67 Закона о контрактной системе устанавливает, что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12"/>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При этом, в соответствии с пунктом 2 частью 4 статьи 67 Закона о контрактной системе участник электронного аукциона не допускается к участию в нем в случае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12"/>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 xml:space="preserve">Следовательно, Единая комиссия Уполномоченного органа обоснованно отказала ООО «СЕЛЕНИТ-МЕД»в допуске к участию в Аукционе, в связи несоответствием информации о характеристике лекарственного препарата </w:t>
      </w:r>
      <w:r>
        <w:rPr>
          <w:rStyle w:val="CharStyle20"/>
        </w:rPr>
        <w:t xml:space="preserve">«вилдаглиптин, метформин», </w:t>
      </w:r>
      <w:r>
        <w:rPr>
          <w:lang w:val="ru-RU" w:eastAsia="ru-RU" w:bidi="ru-RU"/>
          <w:w w:val="100"/>
          <w:spacing w:val="0"/>
          <w:color w:val="000000"/>
          <w:position w:val="0"/>
        </w:rPr>
        <w:t xml:space="preserve">требованиям, установленными в Аукционной документации </w:t>
      </w:r>
      <w:r>
        <w:rPr>
          <w:rStyle w:val="CharStyle20"/>
        </w:rPr>
        <w:t>«вилдаглиптин+метформин».</w:t>
      </w:r>
    </w:p>
    <w:p>
      <w:pPr>
        <w:pStyle w:val="Style12"/>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 xml:space="preserve">Таким образом, жалоба Заявителя является </w:t>
      </w:r>
      <w:r>
        <w:rPr>
          <w:rStyle w:val="CharStyle20"/>
        </w:rPr>
        <w:t>необоснованной.</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Вместе с тем, в ходе внеплановой проверки Комиссия УФАС установила следующее.</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пункте 6 части 1 статьи 33 Закона о контрактной системе указано, что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пунктом 3 части 2 статьи 83.1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статьей 111.4 настоящего Федерального закона.</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части 5 статьи 33 Закона о контрактной системе особенности описания отдельных видов объектов закупок могут устанавливаться Правительством Российской Федерации.</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Постановлением Правительства Российской Федерации от 15.11.2017 №1380 утверждены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№1380).</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подпунктом «б» пункта 3 Постановления №1380 при описании объекта закупки в отношении многокомпонентных (комбинированных) лекарственных препаратов, представляющих собой комбинацию 2 или более активных веществ (то есть активных веществ, входящих в состав комбинированного лекарственного препарата и зарегистрированных в составе однокомпонентных лекарственных препаратов), а также наборов зарегистрированных лекарственных препаратов - должно быть указание на возможность поставки однокомпонентных лекарственных препаратов.</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Как установлено Комиссией УФАС, в подпунктах 4, 5 пункта 4 Технического задания к поставке требуются многокомпонентные лекарственные препараты: </w:t>
      </w:r>
      <w:r>
        <w:rPr>
          <w:rStyle w:val="CharStyle20"/>
        </w:rPr>
        <w:t>вилдаглиптин+метформин, метформин+ситаглиптин.</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Между тем, Техническим заданием не предусмотрена возможность поставки однокомпонентных лекарственных препаратов в соответствии с подпунктом «б» пункта 3 Постановления №1380.</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При таких обстоятельствах, Комиссия УФАС пришла к выводу о наличии в действиях Заказчика нарушения </w:t>
      </w:r>
      <w:r>
        <w:rPr>
          <w:rStyle w:val="CharStyle20"/>
        </w:rPr>
        <w:t xml:space="preserve">пункта 1 части 1 статьи 64 (части 5 статьи 33) </w:t>
      </w:r>
      <w:r>
        <w:rPr>
          <w:lang w:val="ru-RU" w:eastAsia="ru-RU" w:bidi="ru-RU"/>
          <w:w w:val="100"/>
          <w:spacing w:val="0"/>
          <w:color w:val="000000"/>
          <w:position w:val="0"/>
        </w:rPr>
        <w:t>Закона о контрактной системе.</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Указанное нарушение Закона о контрактной системе содержит признаки состава административного правонарушения, предусмотренного </w:t>
      </w:r>
      <w:r>
        <w:rPr>
          <w:rStyle w:val="CharStyle20"/>
        </w:rPr>
        <w:t>частью 4.2 статьи 7.30 КоАП РФ.</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УФАС</w:t>
      </w:r>
    </w:p>
    <w:p>
      <w:pPr>
        <w:pStyle w:val="Style12"/>
        <w:widowControl w:val="0"/>
        <w:keepNext w:val="0"/>
        <w:keepLines w:val="0"/>
        <w:shd w:val="clear" w:color="auto" w:fill="auto"/>
        <w:bidi w:val="0"/>
        <w:jc w:val="left"/>
        <w:spacing w:before="0" w:after="0" w:line="322" w:lineRule="exact"/>
        <w:ind w:left="4840" w:right="0" w:firstLine="0"/>
      </w:pPr>
      <w:r>
        <w:rPr>
          <w:lang w:val="ru-RU" w:eastAsia="ru-RU" w:bidi="ru-RU"/>
          <w:w w:val="100"/>
          <w:spacing w:val="0"/>
          <w:color w:val="000000"/>
          <w:position w:val="0"/>
        </w:rPr>
        <w:t>РЕШИЛА:</w:t>
      </w:r>
    </w:p>
    <w:p>
      <w:pPr>
        <w:pStyle w:val="Style12"/>
        <w:numPr>
          <w:ilvl w:val="0"/>
          <w:numId w:val="1"/>
        </w:numPr>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 Признать жалобу ООО «СЕЛЕНИТ-МЕД» необоснованной.</w:t>
      </w:r>
    </w:p>
    <w:p>
      <w:pPr>
        <w:pStyle w:val="Style12"/>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Признать в действиях Заказчика нарушение пункта 1 части 1 статьи 64 (части 5 статьи 33) Закона о контрактной системе.</w:t>
      </w:r>
    </w:p>
    <w:p>
      <w:pPr>
        <w:pStyle w:val="Style12"/>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Выдать Заказчику, Уполномоченному органу, Оператору электронной площадки обязательное для исполнения предписание об устранении выявленных нарушений Закона о контрактной системе, путем </w:t>
      </w:r>
      <w:r>
        <w:rPr>
          <w:rStyle w:val="CharStyle20"/>
        </w:rPr>
        <w:t xml:space="preserve">аннулирования </w:t>
      </w:r>
      <w:r>
        <w:rPr>
          <w:lang w:val="ru-RU" w:eastAsia="ru-RU" w:bidi="ru-RU"/>
          <w:w w:val="100"/>
          <w:spacing w:val="0"/>
          <w:color w:val="000000"/>
          <w:position w:val="0"/>
        </w:rPr>
        <w:t>Аукциона.</w:t>
      </w:r>
    </w:p>
    <w:p>
      <w:pPr>
        <w:pStyle w:val="Style12"/>
        <w:numPr>
          <w:ilvl w:val="0"/>
          <w:numId w:val="1"/>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Передать должностному лицу Адыгейского УФАС России материалы дела №001/06/64-516/2021 для рассмотрения вопроса о возбуждении дела по выявленным признакам административного правонарушения.</w:t>
      </w:r>
    </w:p>
    <w:p>
      <w:pPr>
        <w:pStyle w:val="Style12"/>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2"/>
        <w:tabs>
          <w:tab w:leader="none" w:pos="6675" w:val="left"/>
        </w:tabs>
        <w:widowControl w:val="0"/>
        <w:keepNext w:val="0"/>
        <w:keepLines w:val="0"/>
        <w:shd w:val="clear" w:color="auto" w:fill="auto"/>
        <w:bidi w:val="0"/>
        <w:jc w:val="both"/>
        <w:spacing w:before="0" w:after="0" w:line="379" w:lineRule="exact"/>
        <w:ind w:left="20" w:right="0" w:firstLine="0"/>
      </w:pPr>
      <w:r>
        <w:rPr>
          <w:lang w:val="ru-RU" w:eastAsia="ru-RU" w:bidi="ru-RU"/>
          <w:w w:val="100"/>
          <w:spacing w:val="0"/>
          <w:color w:val="000000"/>
          <w:position w:val="0"/>
        </w:rPr>
        <w:t>Заместитель председатель Комиссии</w:t>
        <w:tab/>
      </w:r>
      <w:r>
        <w:rPr>
          <w:rStyle w:val="CharStyle26"/>
        </w:rPr>
        <w:t>^с^'Уу</w:t>
      </w:r>
      <w:r>
        <w:rPr>
          <w:rStyle w:val="CharStyle27"/>
        </w:rPr>
        <w:t xml:space="preserve"> </w:t>
      </w:r>
      <w:r>
        <w:rPr>
          <w:lang w:val="ru-RU" w:eastAsia="ru-RU" w:bidi="ru-RU"/>
          <w:w w:val="100"/>
          <w:spacing w:val="0"/>
          <w:color w:val="000000"/>
          <w:position w:val="0"/>
        </w:rPr>
        <w:t>О.Ю. Вдовина</w:t>
      </w:r>
    </w:p>
    <w:p>
      <w:pPr>
        <w:pStyle w:val="Style12"/>
        <w:tabs>
          <w:tab w:leader="none" w:pos="6510" w:val="right"/>
          <w:tab w:leader="none" w:pos="6703" w:val="left"/>
          <w:tab w:leader="none" w:pos="8895" w:val="right"/>
          <w:tab w:leader="none" w:pos="9089" w:val="left"/>
        </w:tabs>
        <w:widowControl w:val="0"/>
        <w:keepNext w:val="0"/>
        <w:keepLines w:val="0"/>
        <w:shd w:val="clear" w:color="auto" w:fill="auto"/>
        <w:bidi w:val="0"/>
        <w:jc w:val="both"/>
        <w:spacing w:before="0" w:after="0" w:line="379" w:lineRule="exact"/>
        <w:ind w:left="20" w:right="0" w:firstLine="0"/>
      </w:pPr>
      <w:r>
        <w:rPr>
          <w:lang w:val="ru-RU" w:eastAsia="ru-RU" w:bidi="ru-RU"/>
          <w:w w:val="100"/>
          <w:spacing w:val="0"/>
          <w:color w:val="000000"/>
          <w:position w:val="0"/>
        </w:rPr>
        <w:t>Члены Комиссии:</w:t>
        <w:tab/>
      </w:r>
      <w:r>
        <w:rPr>
          <w:rStyle w:val="CharStyle27"/>
        </w:rPr>
        <w:t>...</w:t>
        <w:tab/>
        <w:t>5^*"'</w:t>
        <w:tab/>
      </w:r>
      <w:r>
        <w:rPr>
          <w:lang w:val="ru-RU" w:eastAsia="ru-RU" w:bidi="ru-RU"/>
          <w:w w:val="100"/>
          <w:spacing w:val="0"/>
          <w:color w:val="000000"/>
          <w:position w:val="0"/>
        </w:rPr>
        <w:t>Р-Х.</w:t>
        <w:tab/>
        <w:t>Блягоз</w:t>
      </w:r>
    </w:p>
    <w:p>
      <w:pPr>
        <w:pStyle w:val="Style12"/>
        <w:widowControl w:val="0"/>
        <w:keepNext w:val="0"/>
        <w:keepLines w:val="0"/>
        <w:shd w:val="clear" w:color="auto" w:fill="auto"/>
        <w:bidi w:val="0"/>
        <w:jc w:val="left"/>
        <w:spacing w:before="0" w:after="0" w:line="260" w:lineRule="exact"/>
        <w:ind w:left="8020" w:right="0" w:firstLine="0"/>
      </w:pPr>
      <w:r>
        <w:rPr>
          <w:lang w:val="ru-RU" w:eastAsia="ru-RU" w:bidi="ru-RU"/>
          <w:w w:val="100"/>
          <w:spacing w:val="0"/>
          <w:color w:val="000000"/>
          <w:position w:val="0"/>
        </w:rPr>
        <w:t>^-4Р.М. Чич</w:t>
      </w:r>
    </w:p>
    <w:sectPr>
      <w:type w:val="continuous"/>
      <w:pgSz w:w="11906" w:h="16838"/>
      <w:pgMar w:top="765" w:left="555" w:right="555" w:bottom="1673" w:header="0" w:footer="3" w:gutter="55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3"/>
    <w:rPr>
      <w:lang w:val="ru-RU" w:eastAsia="ru-RU" w:bidi="ru-RU"/>
      <w:w w:val="100"/>
      <w:spacing w:val="0"/>
      <w:color w:val="000000"/>
      <w:position w:val="0"/>
    </w:rPr>
  </w:style>
  <w:style w:type="character" w:customStyle="1" w:styleId="CharStyle16">
    <w:name w:val="Основной текст (5) Exact"/>
    <w:basedOn w:val="DefaultParagraphFont"/>
    <w:link w:val="Style15"/>
    <w:rPr>
      <w:b w:val="0"/>
      <w:bCs w:val="0"/>
      <w:i w:val="0"/>
      <w:iCs w:val="0"/>
      <w:u w:val="none"/>
      <w:strike w:val="0"/>
      <w:smallCaps w:val="0"/>
      <w:sz w:val="18"/>
      <w:szCs w:val="18"/>
      <w:rFonts w:ascii="Microsoft Sans Serif" w:eastAsia="Microsoft Sans Serif" w:hAnsi="Microsoft Sans Serif" w:cs="Microsoft Sans Serif"/>
    </w:rPr>
  </w:style>
  <w:style w:type="character" w:customStyle="1" w:styleId="CharStyle17">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8">
    <w:name w:val="Основной текст (4) Exact"/>
    <w:basedOn w:val="CharStyle10"/>
    <w:rPr>
      <w:lang w:val="ru-RU" w:eastAsia="ru-RU" w:bidi="ru-RU"/>
      <w:sz w:val="15"/>
      <w:szCs w:val="15"/>
      <w:w w:val="100"/>
      <w:spacing w:val="4"/>
      <w:color w:val="000000"/>
      <w:position w:val="0"/>
    </w:rPr>
  </w:style>
  <w:style w:type="character" w:customStyle="1" w:styleId="CharStyle19">
    <w:name w:val="Основной текст"/>
    <w:basedOn w:val="CharStyle13"/>
    <w:rPr>
      <w:lang w:val="ru-RU" w:eastAsia="ru-RU" w:bidi="ru-RU"/>
      <w:u w:val="single"/>
      <w:w w:val="100"/>
      <w:spacing w:val="0"/>
      <w:color w:val="000000"/>
      <w:position w:val="0"/>
    </w:rPr>
  </w:style>
  <w:style w:type="character" w:customStyle="1" w:styleId="CharStyle20">
    <w:name w:val="Основной текст + Полужирный"/>
    <w:basedOn w:val="CharStyle13"/>
    <w:rPr>
      <w:lang w:val="ru-RU" w:eastAsia="ru-RU" w:bidi="ru-RU"/>
      <w:b/>
      <w:bCs/>
      <w:w w:val="100"/>
      <w:spacing w:val="0"/>
      <w:color w:val="000000"/>
      <w:position w:val="0"/>
    </w:rPr>
  </w:style>
  <w:style w:type="character" w:customStyle="1" w:styleId="CharStyle22">
    <w:name w:val="Подпись к таблице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Подпись к таблице"/>
    <w:basedOn w:val="CharStyle22"/>
    <w:rPr>
      <w:lang w:val="ru-RU" w:eastAsia="ru-RU" w:bidi="ru-RU"/>
      <w:u w:val="single"/>
      <w:w w:val="100"/>
      <w:spacing w:val="0"/>
      <w:color w:val="000000"/>
      <w:position w:val="0"/>
    </w:rPr>
  </w:style>
  <w:style w:type="character" w:customStyle="1" w:styleId="CharStyle24">
    <w:name w:val="Основной текст + 9 pt"/>
    <w:basedOn w:val="CharStyle13"/>
    <w:rPr>
      <w:lang w:val="ru-RU" w:eastAsia="ru-RU" w:bidi="ru-RU"/>
      <w:sz w:val="18"/>
      <w:szCs w:val="18"/>
      <w:w w:val="100"/>
      <w:spacing w:val="0"/>
      <w:color w:val="000000"/>
      <w:position w:val="0"/>
    </w:rPr>
  </w:style>
  <w:style w:type="character" w:customStyle="1" w:styleId="CharStyle25">
    <w:name w:val="Основной текст + 7 pt"/>
    <w:basedOn w:val="CharStyle13"/>
    <w:rPr>
      <w:lang w:val="ru-RU" w:eastAsia="ru-RU" w:bidi="ru-RU"/>
      <w:sz w:val="14"/>
      <w:szCs w:val="14"/>
      <w:w w:val="100"/>
      <w:spacing w:val="0"/>
      <w:color w:val="000000"/>
      <w:position w:val="0"/>
    </w:rPr>
  </w:style>
  <w:style w:type="character" w:customStyle="1" w:styleId="CharStyle26">
    <w:name w:val="Основной текст + 14 pt,Курсив,Интервал 0 pt"/>
    <w:basedOn w:val="CharStyle13"/>
    <w:rPr>
      <w:lang w:val="ru-RU" w:eastAsia="ru-RU" w:bidi="ru-RU"/>
      <w:i/>
      <w:iCs/>
      <w:u w:val="single"/>
      <w:sz w:val="28"/>
      <w:szCs w:val="28"/>
      <w:w w:val="100"/>
      <w:spacing w:val="-10"/>
      <w:color w:val="000000"/>
      <w:position w:val="0"/>
    </w:rPr>
  </w:style>
  <w:style w:type="character" w:customStyle="1" w:styleId="CharStyle27">
    <w:name w:val="Основной текст"/>
    <w:basedOn w:val="CharStyle13"/>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64" w:lineRule="exact"/>
    </w:pPr>
    <w:rPr>
      <w:b w:val="0"/>
      <w:bCs w:val="0"/>
      <w:i w:val="0"/>
      <w:iCs w:val="0"/>
      <w:u w:val="none"/>
      <w:strike w:val="0"/>
      <w:smallCaps w:val="0"/>
      <w:sz w:val="21"/>
      <w:szCs w:val="21"/>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20" w:after="120" w:line="293"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center"/>
      <w:spacing w:before="120" w:after="120" w:line="27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0" w:lineRule="exact"/>
    </w:pPr>
    <w:rPr>
      <w:b w:val="0"/>
      <w:bCs w:val="0"/>
      <w:i w:val="0"/>
      <w:iCs w:val="0"/>
      <w:u w:val="none"/>
      <w:strike w:val="0"/>
      <w:smallCaps w:val="0"/>
      <w:sz w:val="18"/>
      <w:szCs w:val="18"/>
      <w:rFonts w:ascii="Microsoft Sans Serif" w:eastAsia="Microsoft Sans Serif" w:hAnsi="Microsoft Sans Serif" w:cs="Microsoft Sans Serif"/>
    </w:rPr>
  </w:style>
  <w:style w:type="paragraph" w:customStyle="1" w:styleId="Style21">
    <w:name w:val="Подпись к таблице"/>
    <w:basedOn w:val="Normal"/>
    <w:link w:val="CharStyle22"/>
    <w:pPr>
      <w:widowControl w:val="0"/>
      <w:shd w:val="clear" w:color="auto" w:fill="FFFFFF"/>
      <w:jc w:val="both"/>
      <w:spacing w:line="326" w:lineRule="exact"/>
      <w:ind w:firstLine="720"/>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