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79" w:line="260" w:lineRule="exact"/>
        <w:ind w:left="5300" w:right="0" w:firstLine="0"/>
      </w:pPr>
      <w:r>
        <w:rPr>
          <w:lang w:val="ru-RU" w:eastAsia="ru-RU" w:bidi="ru-RU"/>
          <w:w w:val="100"/>
          <w:spacing w:val="0"/>
          <w:color w:val="000000"/>
          <w:position w:val="0"/>
        </w:rPr>
        <w:t>ГУП «Мосгортранс»</w:t>
      </w:r>
    </w:p>
    <w:p>
      <w:pPr>
        <w:pStyle w:val="Style5"/>
        <w:widowControl w:val="0"/>
        <w:keepNext w:val="0"/>
        <w:keepLines w:val="0"/>
        <w:shd w:val="clear" w:color="auto" w:fill="auto"/>
        <w:bidi w:val="0"/>
        <w:jc w:val="left"/>
        <w:spacing w:before="0" w:after="240" w:line="283" w:lineRule="exact"/>
        <w:ind w:left="5300" w:right="1340" w:firstLine="0"/>
      </w:pPr>
      <w:r>
        <w:rPr>
          <w:lang w:val="ru-RU" w:eastAsia="ru-RU" w:bidi="ru-RU"/>
          <w:w w:val="100"/>
          <w:spacing w:val="0"/>
          <w:color w:val="000000"/>
          <w:position w:val="0"/>
        </w:rPr>
        <w:t>наб. Раушская, д. 22/21, стр. 1, г. Москва,115035</w:t>
      </w:r>
    </w:p>
    <w:p>
      <w:pPr>
        <w:pStyle w:val="Style5"/>
        <w:widowControl w:val="0"/>
        <w:keepNext w:val="0"/>
        <w:keepLines w:val="0"/>
        <w:shd w:val="clear" w:color="auto" w:fill="auto"/>
        <w:bidi w:val="0"/>
        <w:jc w:val="left"/>
        <w:spacing w:before="0" w:after="244" w:line="283" w:lineRule="exact"/>
        <w:ind w:left="5300" w:right="134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jc w:val="left"/>
        <w:spacing w:before="0" w:after="255" w:line="278" w:lineRule="exact"/>
        <w:ind w:left="5300" w:right="560" w:firstLine="0"/>
      </w:pPr>
      <w:r>
        <w:rPr>
          <w:lang w:val="ru-RU" w:eastAsia="ru-RU" w:bidi="ru-RU"/>
          <w:w w:val="100"/>
          <w:spacing w:val="0"/>
          <w:color w:val="000000"/>
          <w:position w:val="0"/>
        </w:rPr>
        <w:t>Макаренко ул., д. 4, стр. 1, г. Москва, 105062</w:t>
      </w:r>
    </w:p>
    <w:p>
      <w:pPr>
        <w:pStyle w:val="Style5"/>
        <w:widowControl w:val="0"/>
        <w:keepNext w:val="0"/>
        <w:keepLines w:val="0"/>
        <w:shd w:val="clear" w:color="auto" w:fill="auto"/>
        <w:bidi w:val="0"/>
        <w:jc w:val="left"/>
        <w:spacing w:before="0" w:after="279" w:line="260" w:lineRule="exact"/>
        <w:ind w:left="5300" w:right="0" w:firstLine="0"/>
      </w:pPr>
      <w:r>
        <w:rPr>
          <w:lang w:val="ru-RU" w:eastAsia="ru-RU" w:bidi="ru-RU"/>
          <w:w w:val="100"/>
          <w:spacing w:val="0"/>
          <w:color w:val="000000"/>
          <w:position w:val="0"/>
        </w:rPr>
        <w:t>ООО «Рузанов Груп»</w:t>
      </w:r>
    </w:p>
    <w:p>
      <w:pPr>
        <w:pStyle w:val="Style5"/>
        <w:widowControl w:val="0"/>
        <w:keepNext w:val="0"/>
        <w:keepLines w:val="0"/>
        <w:shd w:val="clear" w:color="auto" w:fill="auto"/>
        <w:bidi w:val="0"/>
        <w:jc w:val="left"/>
        <w:spacing w:before="0" w:after="869" w:line="283" w:lineRule="exact"/>
        <w:ind w:left="5300" w:right="400" w:firstLine="0"/>
      </w:pPr>
      <w:r>
        <w:rPr>
          <w:lang w:val="ru-RU" w:eastAsia="ru-RU" w:bidi="ru-RU"/>
          <w:w w:val="100"/>
          <w:spacing w:val="0"/>
          <w:color w:val="000000"/>
          <w:position w:val="0"/>
        </w:rPr>
        <w:t>мкр. Супонево, к.6, 156, г. Звенигород, 143185</w:t>
      </w:r>
    </w:p>
    <w:p>
      <w:pPr>
        <w:pStyle w:val="Style8"/>
        <w:tabs>
          <w:tab w:leader="none" w:pos="10199" w:val="righ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№077/06/106-18895/2021 о нарушении законодательства о контрактной системе 25.10.2021</w:t>
        <w:tab/>
        <w:t>Москва</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при участии представителей:</w:t>
      </w:r>
    </w:p>
    <w:p>
      <w:pPr>
        <w:pStyle w:val="Style5"/>
        <w:tabs>
          <w:tab w:leader="none" w:pos="4317" w:val="right"/>
          <w:tab w:leader="none" w:pos="6040" w:val="right"/>
          <w:tab w:leader="none" w:pos="8022" w:val="right"/>
          <w:tab w:leader="none" w:pos="10199" w:val="right"/>
        </w:tabs>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ГУП «Мосгортранс»:</w:t>
        <w:tab/>
        <w:t>А.А.</w:t>
        <w:tab/>
        <w:t>Сотниковой</w:t>
        <w:tab/>
        <w:t>(доверенность</w:t>
        <w:tab/>
        <w:t>№99-13-1408/13</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от 28.12.2020),</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ООО «Рузанов Груп»: Е.С. Прозоровой (доверенность №2 от 16.08.2021),</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Департамента города Москвы по конкурентной политике: Е.В. Богдановой (доверенность от 04.08.2020 №77-13-13/0-50),</w:t>
      </w:r>
    </w:p>
    <w:p>
      <w:pPr>
        <w:pStyle w:val="Style3"/>
        <w:framePr w:w="1685" w:h="394" w:wrap="around" w:vAnchor="text" w:hAnchor="margin" w:x="385" w:y="663"/>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002016263195</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рассмотрев жалобу ООО «Рузанов Груп» (далее — Заявитель) на действия</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ГУП «Мосгортранс» (далее — Заказчики) при проведении открытого конкурса в электронной форме на право заключения государственного контракта на выполнение работ по разработке проектно-сметной документации для выполнения работ по модернизации зданий филиалов ГУП «Мосгортранс» в части системы противопожарной за</w:t>
      </w:r>
      <w:r>
        <w:rPr>
          <w:rStyle w:val="CharStyle10"/>
        </w:rPr>
        <w:t>щи</w:t>
      </w:r>
      <w:r>
        <w:rPr>
          <w:lang w:val="ru-RU" w:eastAsia="ru-RU" w:bidi="ru-RU"/>
          <w:w w:val="100"/>
          <w:spacing w:val="0"/>
          <w:color w:val="000000"/>
          <w:position w:val="0"/>
        </w:rPr>
        <w:t>ты (Закупка № 0173200001421001244) (далее - открытый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0"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Заказчиков при проведении открытого конкурса.</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20.10.2021 № ЕИ/64219/21.</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протоколу подведения итогов открытого конкурса в электронной форме от 14.10.2021 №ППИ1 заявка ООО «Рузанов Груп» признана не соответствующей требованиям конкурсной документации на следующем основании: «Заявка участника открытого конкурса электронной форме признана не соответствующей требованиям документации по проведению конкурса в электронной форме по основаниям, предусмотренным п. 3 ч. 4 ст. 54.7 и ч.6 ст.45 Федерального Закона от 05.04.2013 г. № 44-ФЗ ввиду несоответствия участника требованиям, установленным конкурсной документацией (п.28.1 раздела IV «Размер и порядок обеспечения заявок на участие в закупке, обеспечения исполнения контракта, гарантийных обязательств»), а именно:</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требования к банковской гарантии утверждены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где в частности указано, что Банковская гарантия оформляется на условиях, определенных гражданским законодательством. В условии Гарантии, выданной Участнику закупки указано: «Требование по Гарантии и прилагаемые к нему документы должны быть представлены Бенефициару в пределах срока действия Гарантии. Моментом предъявления Требования со всеми прилагаемыми к нему документами является момент его получения Гарантом.». В соответствии со ст. 165.1. Гражданского кодекса Российской Федерации, 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другого лица, влекут для Гаранта последствия с момента доставки соответствующего сообщения. Таким образом, представленная банковская гарантия не соответствует требованиям ст. 165.1 ГК РФ. Бенефициар имеет право направить требование в бумажном виде и в форме электронного документа в срок действия банковской гарантии. Срок установлен в датах от и до. При направлении Требования в Банк в бумажной форме, Бенефициар имеет право направить в организацию связи необходимые документы в целях получения платежа до двадцати четырех часов последнего дня срока согласно ст. 194 ГК РФ. Письменные заявления и извещения, сданные в организацию связи до двадцати четырех часов последнего дня срока, считаются сделанными в срок, что подтверждает отсутствие недобросовестности в реализации права на получение платежа. Согласно п. 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 Исходя из совокупности применения п. 2 ст. 194 и п. 2 ст. 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ч.1 ст.45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ч.4 ст.44 Закона о контрактной системе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статьи 45 Закона о контрактной системе.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5"/>
        <w:numPr>
          <w:ilvl w:val="0"/>
          <w:numId w:val="1"/>
        </w:numPr>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 xml:space="preserve"> отсутствие информации о банковской гарантии в предусмотренных ст.45 Закона о контрактной системе реестрах банковских гарантий;</w:t>
      </w:r>
    </w:p>
    <w:p>
      <w:pPr>
        <w:pStyle w:val="Style5"/>
        <w:numPr>
          <w:ilvl w:val="0"/>
          <w:numId w:val="1"/>
        </w:numPr>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5"/>
        <w:numPr>
          <w:ilvl w:val="0"/>
          <w:numId w:val="1"/>
        </w:numPr>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12" w:lineRule="exact"/>
        <w:ind w:left="20" w:right="20" w:firstLine="560"/>
      </w:pPr>
      <w:r>
        <w:rPr>
          <w:lang w:val="ru-RU" w:eastAsia="ru-RU" w:bidi="ru-RU"/>
          <w:w w:val="100"/>
          <w:spacing w:val="0"/>
          <w:color w:val="000000"/>
          <w:position w:val="0"/>
        </w:rPr>
        <w:t>На основании п.4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5"/>
        <w:widowControl w:val="0"/>
        <w:keepNext w:val="0"/>
        <w:keepLines w:val="0"/>
        <w:shd w:val="clear" w:color="auto" w:fill="auto"/>
        <w:bidi w:val="0"/>
        <w:jc w:val="both"/>
        <w:spacing w:before="0" w:after="0" w:line="312" w:lineRule="exact"/>
        <w:ind w:left="20" w:right="20" w:firstLine="540"/>
      </w:pPr>
      <w:r>
        <w:rPr>
          <w:lang w:val="ru-RU" w:eastAsia="ru-RU" w:bidi="ru-RU"/>
          <w:w w:val="100"/>
          <w:spacing w:val="0"/>
          <w:color w:val="000000"/>
          <w:position w:val="0"/>
        </w:rPr>
        <w:t>На заседании Комиссии Управления установлено, что Заявителем в качестве обеспечения заявки представлена банковская гарантия №15-01-15-2021/349951 от 30.09.2021, выданная АО «ОТП Банк» (далее — банковская гарантия).</w:t>
      </w:r>
    </w:p>
    <w:p>
      <w:pPr>
        <w:pStyle w:val="Style5"/>
        <w:widowControl w:val="0"/>
        <w:keepNext w:val="0"/>
        <w:keepLines w:val="0"/>
        <w:shd w:val="clear" w:color="auto" w:fill="auto"/>
        <w:bidi w:val="0"/>
        <w:jc w:val="both"/>
        <w:spacing w:before="0" w:after="0" w:line="312" w:lineRule="exact"/>
        <w:ind w:left="20" w:right="20" w:firstLine="54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12" w:lineRule="exact"/>
        <w:ind w:left="20" w:right="20" w:firstLine="540"/>
      </w:pPr>
      <w:r>
        <w:rPr>
          <w:lang w:val="ru-RU" w:eastAsia="ru-RU" w:bidi="ru-RU"/>
          <w:w w:val="100"/>
          <w:spacing w:val="0"/>
          <w:color w:val="000000"/>
          <w:position w:val="0"/>
        </w:rPr>
        <w:t>Согласно ч.8.2 ст.45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На заседании Комиссии Управления установлено, что в Банковской гарантии предусмотрено следующее: п.2.7 «Требование по гарантии и прилагаемые к нему документы должны быть представлены Гаранту в пределах срока действия Гарантии. Моментом предъявления Требования со всеми прилагаемыми к нему документами является момент его получения Гарантом».</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Таким образом, 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Исходя из совокупности применения п.2 ст.194 и п.2 ст.374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п. 2 ч. 6 ст. 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ч.2 и 3 ст.45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ч.4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r>
        <w:br w:type="page"/>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Закона о контрактной системе;</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конкурсной документации и принятие конкурсной комиссией решения в части признания заявки Заявителя не соответствующей является правомерным.</w:t>
      </w:r>
    </w:p>
    <w:p>
      <w:pPr>
        <w:pStyle w:val="Style5"/>
        <w:widowControl w:val="0"/>
        <w:keepNext w:val="0"/>
        <w:keepLines w:val="0"/>
        <w:shd w:val="clear" w:color="auto" w:fill="auto"/>
        <w:bidi w:val="0"/>
        <w:jc w:val="both"/>
        <w:spacing w:before="0" w:after="278" w:line="307"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8"/>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РЕШИЛА:</w:t>
      </w:r>
    </w:p>
    <w:p>
      <w:pPr>
        <w:pStyle w:val="Style5"/>
        <w:numPr>
          <w:ilvl w:val="0"/>
          <w:numId w:val="5"/>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Признать жалобу ООО «Рузанов Груп» на действия конкурсной комиссии ГУП «Мосгортранс» необоснованной.</w:t>
      </w:r>
    </w:p>
    <w:p>
      <w:pPr>
        <w:pStyle w:val="Style5"/>
        <w:numPr>
          <w:ilvl w:val="0"/>
          <w:numId w:val="5"/>
        </w:numPr>
        <w:widowControl w:val="0"/>
        <w:keepNext w:val="0"/>
        <w:keepLines w:val="0"/>
        <w:shd w:val="clear" w:color="auto" w:fill="auto"/>
        <w:bidi w:val="0"/>
        <w:jc w:val="both"/>
        <w:spacing w:before="0" w:after="236" w:line="30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открытого конкурса в электронной форме, наложенные письмом Московского УФАС России от 20.10.2021 № ЕИ/64219/21.</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278" w:line="260" w:lineRule="exact"/>
        <w:ind w:left="20" w:right="0" w:firstLine="0"/>
      </w:pPr>
      <w:r>
        <w:rPr>
          <w:lang w:val="ru-RU" w:eastAsia="ru-RU" w:bidi="ru-RU"/>
          <w:w w:val="100"/>
          <w:spacing w:val="0"/>
          <w:color w:val="000000"/>
          <w:position w:val="0"/>
        </w:rPr>
        <w:t>гл. 24 АПК РФ.</w:t>
      </w:r>
    </w:p>
    <w:p>
      <w:pPr>
        <w:pStyle w:val="Style5"/>
        <w:framePr w:w="2152" w:h="1296" w:wrap="around" w:vAnchor="text" w:hAnchor="margin" w:x="7994" w:y="-148"/>
        <w:widowControl w:val="0"/>
        <w:keepNext w:val="0"/>
        <w:keepLines w:val="0"/>
        <w:shd w:val="clear" w:color="auto" w:fill="auto"/>
        <w:bidi w:val="0"/>
        <w:jc w:val="right"/>
        <w:spacing w:before="0" w:after="0" w:line="432" w:lineRule="exact"/>
        <w:ind w:left="100" w:right="0" w:firstLine="0"/>
      </w:pPr>
      <w:r>
        <w:rPr>
          <w:rStyle w:val="CharStyle6"/>
        </w:rPr>
        <w:t>Д.С. Грешнева А.А. Кутейников Э.З. Гугава</w:t>
      </w:r>
    </w:p>
    <w:p>
      <w:pPr>
        <w:pStyle w:val="Style5"/>
        <w:widowControl w:val="0"/>
        <w:keepNext w:val="0"/>
        <w:keepLines w:val="0"/>
        <w:shd w:val="clear" w:color="auto" w:fill="auto"/>
        <w:bidi w:val="0"/>
        <w:jc w:val="left"/>
        <w:spacing w:before="0" w:after="1778" w:line="427" w:lineRule="exact"/>
        <w:ind w:left="20" w:right="3520" w:firstLine="0"/>
      </w:pPr>
      <w:r>
        <w:rPr>
          <w:lang w:val="ru-RU" w:eastAsia="ru-RU" w:bidi="ru-RU"/>
          <w:w w:val="100"/>
          <w:spacing w:val="0"/>
          <w:color w:val="000000"/>
          <w:position w:val="0"/>
        </w:rPr>
        <w:t>Заместитель председателя Комиссии Члены Комиссии:</w:t>
      </w:r>
    </w:p>
    <w:p>
      <w:pPr>
        <w:pStyle w:val="Style15"/>
        <w:widowControl w:val="0"/>
        <w:keepNext w:val="0"/>
        <w:keepLines w:val="0"/>
        <w:shd w:val="clear" w:color="auto" w:fill="auto"/>
        <w:bidi w:val="0"/>
        <w:jc w:val="left"/>
        <w:spacing w:before="0" w:after="0"/>
        <w:ind w:left="20" w:right="352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259" w:left="843" w:right="819" w:bottom="10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rebuchet MS" w:eastAsia="Trebuchet MS" w:hAnsi="Trebuchet MS" w:cs="Trebuchet MS"/>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Trebuchet MS,10,5 pt"/>
    <w:basedOn w:val="CharStyle7"/>
    <w:rPr>
      <w:lang w:val="ru-RU" w:eastAsia="ru-RU" w:bidi="ru-RU"/>
      <w:sz w:val="21"/>
      <w:szCs w:val="21"/>
      <w:rFonts w:ascii="Trebuchet MS" w:eastAsia="Trebuchet MS" w:hAnsi="Trebuchet MS" w:cs="Trebuchet MS"/>
      <w:w w:val="100"/>
      <w:spacing w:val="0"/>
      <w:color w:val="000000"/>
      <w:position w:val="0"/>
    </w:rPr>
  </w:style>
  <w:style w:type="character" w:customStyle="1" w:styleId="CharStyle14">
    <w:name w:val="Основной текст + Trebuchet MS,14 pt"/>
    <w:basedOn w:val="CharStyle7"/>
    <w:rPr>
      <w:lang w:val="ru-RU" w:eastAsia="ru-RU" w:bidi="ru-RU"/>
      <w:sz w:val="28"/>
      <w:szCs w:val="28"/>
      <w:rFonts w:ascii="Trebuchet MS" w:eastAsia="Trebuchet MS" w:hAnsi="Trebuchet MS" w:cs="Trebuchet M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9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162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