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420" w:right="140" w:firstLine="0"/>
      </w:pPr>
      <w:r>
        <w:rPr>
          <w:lang w:val="ru-RU" w:eastAsia="ru-RU" w:bidi="ru-RU"/>
          <w:w w:val="100"/>
          <w:spacing w:val="0"/>
          <w:color w:val="000000"/>
          <w:position w:val="0"/>
        </w:rPr>
        <w:t>ФГБУ «НМИЦ ССХ им. А.Н. Бакулева» Минздрава России</w:t>
      </w:r>
    </w:p>
    <w:p>
      <w:pPr>
        <w:pStyle w:val="Style5"/>
        <w:widowControl w:val="0"/>
        <w:keepNext w:val="0"/>
        <w:keepLines w:val="0"/>
        <w:shd w:val="clear" w:color="auto" w:fill="auto"/>
        <w:bidi w:val="0"/>
        <w:jc w:val="left"/>
        <w:spacing w:before="0" w:after="349"/>
        <w:ind w:left="5420" w:right="140" w:firstLine="0"/>
      </w:pPr>
      <w:r>
        <w:rPr>
          <w:lang w:val="ru-RU" w:eastAsia="ru-RU" w:bidi="ru-RU"/>
          <w:w w:val="100"/>
          <w:spacing w:val="0"/>
          <w:color w:val="000000"/>
          <w:position w:val="0"/>
        </w:rPr>
        <w:t>пр-кт. Ленинский, д. 8, г. Москва, 119049</w:t>
      </w:r>
    </w:p>
    <w:p>
      <w:pPr>
        <w:pStyle w:val="Style5"/>
        <w:widowControl w:val="0"/>
        <w:keepNext w:val="0"/>
        <w:keepLines w:val="0"/>
        <w:shd w:val="clear" w:color="auto" w:fill="auto"/>
        <w:bidi w:val="0"/>
        <w:jc w:val="left"/>
        <w:spacing w:before="0" w:after="303" w:line="260" w:lineRule="exact"/>
        <w:ind w:left="100" w:right="0" w:firstLine="5300"/>
      </w:pPr>
      <w:r>
        <w:rPr>
          <w:lang w:val="ru-RU" w:eastAsia="ru-RU" w:bidi="ru-RU"/>
          <w:w w:val="100"/>
          <w:spacing w:val="0"/>
          <w:color w:val="000000"/>
          <w:position w:val="0"/>
        </w:rPr>
        <w:t>ООО «Техмедторг»</w:t>
      </w:r>
    </w:p>
    <w:p>
      <w:pPr>
        <w:pStyle w:val="Style5"/>
        <w:widowControl w:val="0"/>
        <w:keepNext w:val="0"/>
        <w:keepLines w:val="0"/>
        <w:shd w:val="clear" w:color="auto" w:fill="auto"/>
        <w:bidi w:val="0"/>
        <w:jc w:val="left"/>
        <w:spacing w:before="0" w:after="349"/>
        <w:ind w:left="5420" w:right="140" w:firstLine="0"/>
      </w:pPr>
      <w:r>
        <w:rPr>
          <w:lang w:val="ru-RU" w:eastAsia="ru-RU" w:bidi="ru-RU"/>
          <w:w w:val="100"/>
          <w:spacing w:val="0"/>
          <w:color w:val="000000"/>
          <w:position w:val="0"/>
        </w:rPr>
        <w:t>ул. Привольная, д. 2, корп. 5, пом. XI., к. 79, г. Москва, 109145</w:t>
      </w:r>
    </w:p>
    <w:p>
      <w:pPr>
        <w:pStyle w:val="Style5"/>
        <w:widowControl w:val="0"/>
        <w:keepNext w:val="0"/>
        <w:keepLines w:val="0"/>
        <w:shd w:val="clear" w:color="auto" w:fill="auto"/>
        <w:bidi w:val="0"/>
        <w:jc w:val="left"/>
        <w:spacing w:before="0" w:after="304" w:line="260" w:lineRule="exact"/>
        <w:ind w:left="100" w:right="0" w:firstLine="5300"/>
      </w:pPr>
      <w:r>
        <w:rPr>
          <w:lang w:val="ru-RU" w:eastAsia="ru-RU" w:bidi="ru-RU"/>
          <w:w w:val="100"/>
          <w:spacing w:val="0"/>
          <w:color w:val="000000"/>
          <w:position w:val="0"/>
        </w:rPr>
        <w:t>ООО «РТС-тендер»</w:t>
      </w:r>
    </w:p>
    <w:p>
      <w:pPr>
        <w:pStyle w:val="Style8"/>
        <w:tabs>
          <w:tab w:leader="none" w:pos="9206" w:val="right"/>
          <w:tab w:leader="none" w:pos="10257" w:val="right"/>
        </w:tabs>
        <w:widowControl w:val="0"/>
        <w:keepNext w:val="0"/>
        <w:keepLines w:val="0"/>
        <w:shd w:val="clear" w:color="auto" w:fill="auto"/>
        <w:bidi w:val="0"/>
        <w:jc w:val="left"/>
        <w:spacing w:before="0" w:after="0"/>
        <w:ind w:left="100" w:right="20" w:firstLine="5300"/>
      </w:pPr>
      <w:r>
        <w:rPr>
          <w:rStyle w:val="CharStyle10"/>
          <w:b w:val="0"/>
          <w:bCs w:val="0"/>
        </w:rPr>
        <w:t xml:space="preserve">Наб. Тараса Шевченко, д. 23-А, г. Москва, 121151 </w:t>
      </w:r>
      <w:r>
        <w:rPr>
          <w:lang w:val="ru-RU" w:eastAsia="ru-RU" w:bidi="ru-RU"/>
          <w:w w:val="100"/>
          <w:spacing w:val="0"/>
          <w:color w:val="000000"/>
          <w:position w:val="0"/>
        </w:rPr>
        <w:t>РЕШЕНИЕ по делу №077/06/106-18904/2021 о нарушении законодательства о контрактной системе 25.10.2021</w:t>
        <w:tab/>
        <w:t>г.</w:t>
        <w:tab/>
        <w:t>Москва</w:t>
      </w:r>
    </w:p>
    <w:p>
      <w:pPr>
        <w:pStyle w:val="Style5"/>
        <w:widowControl w:val="0"/>
        <w:keepNext w:val="0"/>
        <w:keepLines w:val="0"/>
        <w:shd w:val="clear" w:color="auto" w:fill="auto"/>
        <w:bidi w:val="0"/>
        <w:jc w:val="both"/>
        <w:spacing w:before="0" w:after="0" w:line="326" w:lineRule="exact"/>
        <w:ind w:left="100" w:right="20" w:firstLine="5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left"/>
        <w:spacing w:before="0" w:after="0" w:line="307" w:lineRule="exact"/>
        <w:ind w:left="10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left"/>
        <w:spacing w:before="0" w:after="0" w:line="307" w:lineRule="exact"/>
        <w:ind w:left="10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line="298" w:lineRule="exact"/>
        <w:ind w:left="10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left"/>
        <w:spacing w:before="0" w:after="0" w:line="298" w:lineRule="exact"/>
        <w:ind w:left="100" w:right="20" w:firstLine="70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left"/>
        <w:spacing w:before="0" w:after="0"/>
        <w:ind w:left="10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ФГБУ «НМИЦ ССХ им. А.Н. Бакулева» Минздрава России, ООО «Техмедторг»,</w:t>
      </w:r>
    </w:p>
    <w:p>
      <w:pPr>
        <w:pStyle w:val="Style3"/>
        <w:framePr w:w="1685" w:h="394" w:wrap="around" w:vAnchor="text" w:hAnchor="margin" w:x="452" w:y="30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000561990004</w:t>
      </w:r>
    </w:p>
    <w:p>
      <w:pPr>
        <w:pStyle w:val="Style5"/>
        <w:widowControl w:val="0"/>
        <w:keepNext w:val="0"/>
        <w:keepLines w:val="0"/>
        <w:shd w:val="clear" w:color="auto" w:fill="auto"/>
        <w:bidi w:val="0"/>
        <w:jc w:val="both"/>
        <w:spacing w:before="0" w:after="0"/>
        <w:ind w:left="100" w:right="20" w:firstLine="560"/>
      </w:pPr>
      <w:r>
        <w:rPr>
          <w:lang w:val="ru-RU" w:eastAsia="ru-RU" w:bidi="ru-RU"/>
          <w:w w:val="100"/>
          <w:spacing w:val="0"/>
          <w:color w:val="000000"/>
          <w:position w:val="0"/>
        </w:rPr>
        <w:t>рассмотрев жалобу ООО «Техмедторг» (далее — Заявитель) на действия ФГБУ «НМИЦ ССХ им. А.Н. Бакулева» Минздрава России (далее — Заказчик) при проведении электронного аукциона на право заключения государственного контракта на поставку наружного электрокардиостимулятора ПНИ (Закупка № 0373100095221000440)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11"/>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2"/>
        <w:widowControl w:val="0"/>
        <w:keepNext/>
        <w:keepLines/>
        <w:shd w:val="clear" w:color="auto" w:fill="auto"/>
        <w:bidi w:val="0"/>
        <w:jc w:val="left"/>
        <w:spacing w:before="0" w:after="303" w:line="260" w:lineRule="exact"/>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left"/>
        <w:spacing w:before="0" w:after="0"/>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left"/>
        <w:spacing w:before="0" w:after="0"/>
        <w:ind w:left="20" w:right="20" w:firstLine="56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от 20.10.2021 № ЕИ/64274/21, Комиссия Управления установила следующее.</w:t>
      </w:r>
    </w:p>
    <w:p>
      <w:pPr>
        <w:pStyle w:val="Style5"/>
        <w:widowControl w:val="0"/>
        <w:keepNext w:val="0"/>
        <w:keepLines w:val="0"/>
        <w:shd w:val="clear" w:color="auto" w:fill="auto"/>
        <w:bidi w:val="0"/>
        <w:jc w:val="left"/>
        <w:spacing w:before="0" w:after="0"/>
        <w:ind w:left="20" w:right="20" w:firstLine="56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п.1,п.2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Согласно доводам жалобы установленные Заказчиком характеристики требуемых к поставке товаров ограничивают круг участников закупки, поскольку совокупности установленных требований к товару по п.1 «Электрокардиостимулятор внешний, неинвазивный», соответствует товар единственного производителя, а именно электрокардиостимулятор наружный </w:t>
      </w:r>
      <w:r>
        <w:rPr>
          <w:lang w:val="en-US" w:eastAsia="en-US" w:bidi="en-US"/>
          <w:w w:val="100"/>
          <w:spacing w:val="0"/>
          <w:color w:val="000000"/>
          <w:position w:val="0"/>
        </w:rPr>
        <w:t xml:space="preserve">Reocor </w:t>
      </w:r>
      <w:r>
        <w:rPr>
          <w:lang w:val="ru-RU" w:eastAsia="ru-RU" w:bidi="ru-RU"/>
          <w:w w:val="100"/>
          <w:spacing w:val="0"/>
          <w:color w:val="000000"/>
          <w:position w:val="0"/>
        </w:rPr>
        <w:t>производства «БИОТРОНИК СЕ &amp; Ко.КГ» Германия, Швейцария, при этом ограничивающей характеристикой является императивное требование о наличии прозрачной защитной крышке панели управления, что по сути указывает на то, что свободное приобретение таких товаров является невозможным, поскольку в случае обратного, у потенциальных участников закупки, в том числе у Заявителя, не возникли бы трудности при формировании своего предложения в первой части заявки, следовательно, отсутствовала бы необходимость обжалования установления Заказчиком требований к таким товарам.</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заседании Комиссии Управления представитель Заказчика согласился с вышеуказанным доводом жалобы.</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данного довода жалобы и о нарушении Заказчиком положений п.1 ч.1 ст.33 Закона о контрактной системе при формировании технической части аукционной документации, что содержит признаки состава административного правонарушения, предусмотренного ч.4.2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ind w:left="20" w:right="20" w:firstLine="4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r>
        <w:br w:type="page"/>
      </w:r>
    </w:p>
    <w:p>
      <w:pPr>
        <w:pStyle w:val="Style8"/>
        <w:widowControl w:val="0"/>
        <w:keepNext w:val="0"/>
        <w:keepLines w:val="0"/>
        <w:shd w:val="clear" w:color="auto" w:fill="auto"/>
        <w:bidi w:val="0"/>
        <w:jc w:val="left"/>
        <w:spacing w:before="0" w:after="299" w:line="260" w:lineRule="exact"/>
        <w:ind w:left="452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jc w:val="both"/>
        <w:spacing w:before="0" w:after="0" w:line="326" w:lineRule="exact"/>
        <w:ind w:left="0" w:right="20" w:firstLine="720"/>
      </w:pPr>
      <w:r>
        <w:rPr>
          <w:lang w:val="ru-RU" w:eastAsia="ru-RU" w:bidi="ru-RU"/>
          <w:w w:val="100"/>
          <w:spacing w:val="0"/>
          <w:color w:val="000000"/>
          <w:position w:val="0"/>
        </w:rPr>
        <w:t xml:space="preserve"> Признать жалобу ООО «Техмедторг» на действия ФГБУ «НМИЦ ССХ им. А.Н. Бакулева» Минздрава России обоснованной.</w:t>
      </w:r>
    </w:p>
    <w:p>
      <w:pPr>
        <w:pStyle w:val="Style5"/>
        <w:numPr>
          <w:ilvl w:val="0"/>
          <w:numId w:val="3"/>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Признать в действиях Заказчика нарушение п.1 ч.1 ст.33 Закона о контрактной системе.</w:t>
      </w:r>
    </w:p>
    <w:p>
      <w:pPr>
        <w:pStyle w:val="Style5"/>
        <w:numPr>
          <w:ilvl w:val="0"/>
          <w:numId w:val="3"/>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3"/>
        </w:numPr>
        <w:widowControl w:val="0"/>
        <w:keepNext w:val="0"/>
        <w:keepLines w:val="0"/>
        <w:shd w:val="clear" w:color="auto" w:fill="auto"/>
        <w:bidi w:val="0"/>
        <w:jc w:val="both"/>
        <w:spacing w:before="0" w:after="296" w:line="317" w:lineRule="exact"/>
        <w:ind w:left="0" w:right="2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гл. 24 АПК РФ.</w:t>
      </w:r>
    </w:p>
    <w:p>
      <w:pPr>
        <w:pStyle w:val="Style5"/>
        <w:framePr w:h="250" w:vSpace="710" w:wrap="around" w:vAnchor="text" w:hAnchor="margin" w:x="8546" w:y="1"/>
        <w:widowControl w:val="0"/>
        <w:keepNext w:val="0"/>
        <w:keepLines w:val="0"/>
        <w:shd w:val="clear" w:color="auto" w:fill="auto"/>
        <w:bidi w:val="0"/>
        <w:jc w:val="left"/>
        <w:spacing w:before="0" w:after="0" w:line="240" w:lineRule="exact"/>
        <w:ind w:left="100" w:right="0" w:firstLine="0"/>
      </w:pPr>
      <w:r>
        <w:rPr>
          <w:rStyle w:val="CharStyle6"/>
          <w:spacing w:val="0"/>
        </w:rPr>
        <w:t>С.И. Казарин</w:t>
      </w:r>
    </w:p>
    <w:p>
      <w:pPr>
        <w:pStyle w:val="Style5"/>
        <w:framePr w:h="240" w:wrap="around" w:vAnchor="text" w:hAnchor="margin" w:x="8531" w:y="644"/>
        <w:widowControl w:val="0"/>
        <w:keepNext w:val="0"/>
        <w:keepLines w:val="0"/>
        <w:shd w:val="clear" w:color="auto" w:fill="auto"/>
        <w:bidi w:val="0"/>
        <w:jc w:val="left"/>
        <w:spacing w:before="0" w:after="0" w:line="240" w:lineRule="exact"/>
        <w:ind w:left="100" w:right="0" w:firstLine="0"/>
      </w:pPr>
      <w:r>
        <w:rPr>
          <w:rStyle w:val="CharStyle6"/>
          <w:spacing w:val="0"/>
        </w:rPr>
        <w:t>В.А. Матвеев</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5"/>
        <w:framePr w:h="250" w:wrap="notBeside" w:vAnchor="text" w:hAnchor="margin" w:x="8267" w:y="639"/>
        <w:widowControl w:val="0"/>
        <w:keepNext w:val="0"/>
        <w:keepLines w:val="0"/>
        <w:shd w:val="clear" w:color="auto" w:fill="auto"/>
        <w:bidi w:val="0"/>
        <w:jc w:val="left"/>
        <w:spacing w:before="0" w:after="0" w:line="240" w:lineRule="exact"/>
        <w:ind w:left="100" w:right="0" w:firstLine="0"/>
      </w:pPr>
      <w:r>
        <w:rPr>
          <w:rStyle w:val="CharStyle6"/>
          <w:spacing w:val="0"/>
        </w:rPr>
        <w:t>П.А. Ступченко</w:t>
      </w:r>
    </w:p>
    <w:p>
      <w:pPr>
        <w:pStyle w:val="Style5"/>
        <w:widowControl w:val="0"/>
        <w:keepNext w:val="0"/>
        <w:keepLines w:val="0"/>
        <w:shd w:val="clear" w:color="auto" w:fill="auto"/>
        <w:bidi w:val="0"/>
        <w:jc w:val="left"/>
        <w:spacing w:before="0" w:after="6868" w:line="260" w:lineRule="exact"/>
        <w:ind w:left="0" w:right="0" w:firstLine="0"/>
      </w:pPr>
      <w:r>
        <w:rPr>
          <w:lang w:val="ru-RU" w:eastAsia="ru-RU" w:bidi="ru-RU"/>
          <w:w w:val="100"/>
          <w:spacing w:val="0"/>
          <w:color w:val="000000"/>
          <w:position w:val="0"/>
        </w:rPr>
        <w:t>Члены Комиссии</w:t>
      </w:r>
    </w:p>
    <w:p>
      <w:pPr>
        <w:pStyle w:val="Style14"/>
        <w:widowControl w:val="0"/>
        <w:keepNext w:val="0"/>
        <w:keepLines w:val="0"/>
        <w:shd w:val="clear" w:color="auto" w:fill="auto"/>
        <w:bidi w:val="0"/>
        <w:jc w:val="left"/>
        <w:spacing w:before="0" w:after="0"/>
        <w:ind w:left="0" w:right="3960" w:firstLine="0"/>
      </w:pPr>
      <w:r>
        <w:rPr>
          <w:lang w:val="ru-RU" w:eastAsia="ru-RU" w:bidi="ru-RU"/>
          <w:w w:val="100"/>
          <w:spacing w:val="0"/>
          <w:color w:val="000000"/>
          <w:position w:val="0"/>
        </w:rPr>
        <w:t>Исп. Матвеев Владислав Александрович 8 (495) 784-75-05</w:t>
      </w:r>
    </w:p>
    <w:sectPr>
      <w:footnotePr>
        <w:pos w:val="pageBottom"/>
        <w:numFmt w:val="decimal"/>
        <w:numRestart w:val="continuous"/>
      </w:footnotePr>
      <w:type w:val="continuous"/>
      <w:pgSz w:w="11906" w:h="16838"/>
      <w:pgMar w:top="1113" w:left="810" w:right="786"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2) + Не полужирный"/>
    <w:basedOn w:val="CharStyle9"/>
    <w:rPr>
      <w:lang w:val="ru-RU" w:eastAsia="ru-RU" w:bidi="ru-RU"/>
      <w:b/>
      <w:bCs/>
      <w:w w:val="100"/>
      <w:spacing w:val="0"/>
      <w:color w:val="000000"/>
      <w:position w:val="0"/>
    </w:rPr>
  </w:style>
  <w:style w:type="character" w:customStyle="1" w:styleId="CharStyle11">
    <w:name w:val="Основной текст"/>
    <w:basedOn w:val="CharStyle7"/>
    <w:rPr>
      <w:lang w:val="ru-RU" w:eastAsia="ru-RU" w:bidi="ru-RU"/>
      <w:u w:val="single"/>
      <w:w w:val="100"/>
      <w:spacing w:val="0"/>
      <w:color w:val="000000"/>
      <w:position w:val="0"/>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420"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6960"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