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spacing w:before="0" w:after="0"/>
        <w:ind w:left="5340" w:right="0" w:firstLine="0"/>
      </w:pPr>
      <w:r>
        <w:rPr>
          <w:lang w:val="ru-RU" w:eastAsia="ru-RU" w:bidi="ru-RU"/>
          <w:w w:val="100"/>
          <w:spacing w:val="0"/>
          <w:color w:val="000000"/>
          <w:position w:val="0"/>
        </w:rPr>
        <w:t>ГБУЗ «Центр Крови имени</w:t>
      </w:r>
    </w:p>
    <w:p>
      <w:pPr>
        <w:pStyle w:val="Style5"/>
        <w:tabs>
          <w:tab w:leader="none" w:pos="5926" w:val="left"/>
        </w:tabs>
        <w:widowControl w:val="0"/>
        <w:keepNext w:val="0"/>
        <w:keepLines w:val="0"/>
        <w:shd w:val="clear" w:color="auto" w:fill="auto"/>
        <w:bidi w:val="0"/>
        <w:spacing w:before="0" w:after="304"/>
        <w:ind w:left="5340" w:right="0" w:firstLine="0"/>
      </w:pPr>
      <w:r>
        <w:rPr>
          <w:lang w:val="ru-RU" w:eastAsia="ru-RU" w:bidi="ru-RU"/>
          <w:w w:val="100"/>
          <w:spacing w:val="0"/>
          <w:color w:val="000000"/>
          <w:position w:val="0"/>
        </w:rPr>
        <w:t>О.К. Гаврилова ДЗМ»</w:t>
      </w:r>
    </w:p>
    <w:p>
      <w:pPr>
        <w:pStyle w:val="Style5"/>
        <w:widowControl w:val="0"/>
        <w:keepNext w:val="0"/>
        <w:keepLines w:val="0"/>
        <w:shd w:val="clear" w:color="auto" w:fill="auto"/>
        <w:bidi w:val="0"/>
        <w:jc w:val="left"/>
        <w:spacing w:before="0" w:after="349" w:line="322" w:lineRule="exact"/>
        <w:ind w:left="5340" w:right="640" w:firstLine="0"/>
      </w:pPr>
      <w:r>
        <w:rPr>
          <w:lang w:val="ru-RU" w:eastAsia="ru-RU" w:bidi="ru-RU"/>
          <w:w w:val="100"/>
          <w:spacing w:val="0"/>
          <w:color w:val="000000"/>
          <w:position w:val="0"/>
        </w:rPr>
        <w:t>ул. Поликарпова, д. 14, корп. 1, 2, 3, г. Москва, 125284</w:t>
      </w:r>
    </w:p>
    <w:p>
      <w:pPr>
        <w:pStyle w:val="Style5"/>
        <w:widowControl w:val="0"/>
        <w:keepNext w:val="0"/>
        <w:keepLines w:val="0"/>
        <w:shd w:val="clear" w:color="auto" w:fill="auto"/>
        <w:bidi w:val="0"/>
        <w:spacing w:before="0" w:after="312" w:line="260" w:lineRule="exact"/>
        <w:ind w:left="5340" w:right="0" w:firstLine="0"/>
      </w:pPr>
      <w:r>
        <w:rPr>
          <w:lang w:val="ru-RU" w:eastAsia="ru-RU" w:bidi="ru-RU"/>
          <w:w w:val="100"/>
          <w:spacing w:val="0"/>
          <w:color w:val="000000"/>
          <w:position w:val="0"/>
        </w:rPr>
        <w:t>ИП Бабаян Э.А.</w:t>
      </w:r>
    </w:p>
    <w:p>
      <w:pPr>
        <w:pStyle w:val="Style5"/>
        <w:widowControl w:val="0"/>
        <w:keepNext w:val="0"/>
        <w:keepLines w:val="0"/>
        <w:shd w:val="clear" w:color="auto" w:fill="auto"/>
        <w:bidi w:val="0"/>
        <w:jc w:val="left"/>
        <w:spacing w:before="0" w:after="346" w:line="317" w:lineRule="exact"/>
        <w:ind w:left="5340" w:right="420" w:firstLine="0"/>
      </w:pPr>
      <w:r>
        <w:rPr>
          <w:lang w:val="ru-RU" w:eastAsia="ru-RU" w:bidi="ru-RU"/>
          <w:w w:val="100"/>
          <w:spacing w:val="0"/>
          <w:color w:val="000000"/>
          <w:position w:val="0"/>
        </w:rPr>
        <w:t>ул. Удальцова, д. 37, кв. 63, г. Москва, 119415</w:t>
      </w:r>
    </w:p>
    <w:p>
      <w:pPr>
        <w:pStyle w:val="Style5"/>
        <w:widowControl w:val="0"/>
        <w:keepNext w:val="0"/>
        <w:keepLines w:val="0"/>
        <w:shd w:val="clear" w:color="auto" w:fill="auto"/>
        <w:bidi w:val="0"/>
        <w:spacing w:before="0" w:after="352" w:line="260" w:lineRule="exact"/>
        <w:ind w:left="5340" w:right="0" w:firstLine="0"/>
      </w:pPr>
      <w:r>
        <w:rPr>
          <w:lang w:val="ru-RU" w:eastAsia="ru-RU" w:bidi="ru-RU"/>
          <w:w w:val="100"/>
          <w:spacing w:val="0"/>
          <w:color w:val="000000"/>
          <w:position w:val="0"/>
        </w:rPr>
        <w:t>АО «ЕЭТП»</w:t>
      </w:r>
    </w:p>
    <w:p>
      <w:pPr>
        <w:pStyle w:val="Style5"/>
        <w:widowControl w:val="0"/>
        <w:keepNext w:val="0"/>
        <w:keepLines w:val="0"/>
        <w:shd w:val="clear" w:color="auto" w:fill="auto"/>
        <w:bidi w:val="0"/>
        <w:spacing w:before="0" w:after="538" w:line="260" w:lineRule="exact"/>
        <w:ind w:left="5340" w:right="0" w:firstLine="0"/>
      </w:pPr>
      <w:r>
        <w:rPr>
          <w:lang w:val="ru-RU" w:eastAsia="ru-RU" w:bidi="ru-RU"/>
          <w:w w:val="100"/>
          <w:spacing w:val="0"/>
          <w:color w:val="000000"/>
          <w:position w:val="0"/>
        </w:rPr>
        <w:t>60-я Октября пр., д. 9, г. Москва, 117312</w:t>
      </w:r>
    </w:p>
    <w:p>
      <w:pPr>
        <w:pStyle w:val="Style7"/>
        <w:tabs>
          <w:tab w:leader="none" w:pos="10139" w:val="right"/>
        </w:tabs>
        <w:widowControl w:val="0"/>
        <w:keepNext w:val="0"/>
        <w:keepLines w:val="0"/>
        <w:shd w:val="clear" w:color="auto" w:fill="auto"/>
        <w:bidi w:val="0"/>
        <w:jc w:val="left"/>
        <w:spacing w:before="0" w:after="0"/>
        <w:ind w:left="40" w:right="20"/>
      </w:pPr>
      <w:r>
        <w:rPr>
          <w:lang w:val="ru-RU" w:eastAsia="ru-RU" w:bidi="ru-RU"/>
          <w:w w:val="100"/>
          <w:spacing w:val="0"/>
          <w:color w:val="000000"/>
          <w:position w:val="0"/>
        </w:rPr>
        <w:t>РЕШЕНИЕ по делу №077/06/106-18872/2021 о нарушении законодательства о контрактной системе 25.10.2021</w:t>
        <w:tab/>
        <w:t>Москва</w:t>
      </w:r>
    </w:p>
    <w:p>
      <w:pPr>
        <w:pStyle w:val="Style5"/>
        <w:widowControl w:val="0"/>
        <w:keepNext w:val="0"/>
        <w:keepLines w:val="0"/>
        <w:shd w:val="clear" w:color="auto" w:fill="auto"/>
        <w:bidi w:val="0"/>
        <w:jc w:val="left"/>
        <w:spacing w:before="0" w:after="0" w:line="322" w:lineRule="exact"/>
        <w:ind w:left="40" w:right="0" w:firstLine="70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widowControl w:val="0"/>
        <w:keepNext w:val="0"/>
        <w:keepLines w:val="0"/>
        <w:shd w:val="clear" w:color="auto" w:fill="auto"/>
        <w:bidi w:val="0"/>
        <w:jc w:val="left"/>
        <w:spacing w:before="0" w:after="0" w:line="322" w:lineRule="exact"/>
        <w:ind w:left="40" w:right="0" w:firstLine="70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Е.А. Мироновой,</w:t>
      </w:r>
    </w:p>
    <w:p>
      <w:pPr>
        <w:pStyle w:val="Style5"/>
        <w:widowControl w:val="0"/>
        <w:keepNext w:val="0"/>
        <w:keepLines w:val="0"/>
        <w:shd w:val="clear" w:color="auto" w:fill="auto"/>
        <w:bidi w:val="0"/>
        <w:jc w:val="left"/>
        <w:spacing w:before="0" w:after="0" w:line="322" w:lineRule="exact"/>
        <w:ind w:left="40" w:right="0" w:firstLine="70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jc w:val="left"/>
        <w:spacing w:before="0" w:after="0" w:line="322" w:lineRule="exact"/>
        <w:ind w:left="40" w:right="0" w:firstLine="700"/>
      </w:pPr>
      <w:r>
        <w:rPr>
          <w:lang w:val="ru-RU" w:eastAsia="ru-RU" w:bidi="ru-RU"/>
          <w:w w:val="100"/>
          <w:spacing w:val="0"/>
          <w:color w:val="000000"/>
          <w:position w:val="0"/>
        </w:rPr>
        <w:t>Специалиста-эксперта отдела обжалования государственных закупок А.З. Касимовой,</w:t>
      </w:r>
    </w:p>
    <w:p>
      <w:pPr>
        <w:pStyle w:val="Style5"/>
        <w:widowControl w:val="0"/>
        <w:keepNext w:val="0"/>
        <w:keepLines w:val="0"/>
        <w:shd w:val="clear" w:color="auto" w:fill="auto"/>
        <w:bidi w:val="0"/>
        <w:jc w:val="left"/>
        <w:spacing w:before="0" w:after="0" w:line="322" w:lineRule="exact"/>
        <w:ind w:left="40" w:right="0" w:firstLine="700"/>
      </w:pPr>
      <w:r>
        <w:rPr>
          <w:lang w:val="ru-RU" w:eastAsia="ru-RU" w:bidi="ru-RU"/>
          <w:w w:val="100"/>
          <w:spacing w:val="0"/>
          <w:color w:val="000000"/>
          <w:position w:val="0"/>
        </w:rPr>
        <w:t>Специалиста-эксперта отдела обжалования государственных закупок А.А. Матюшенко,</w:t>
      </w:r>
    </w:p>
    <w:p>
      <w:pPr>
        <w:pStyle w:val="Style5"/>
        <w:tabs>
          <w:tab w:leader="none" w:pos="616" w:val="left"/>
        </w:tabs>
        <w:widowControl w:val="0"/>
        <w:keepNext w:val="0"/>
        <w:keepLines w:val="0"/>
        <w:shd w:val="clear" w:color="auto" w:fill="auto"/>
        <w:bidi w:val="0"/>
        <w:jc w:val="left"/>
        <w:spacing w:before="0" w:after="0" w:line="322" w:lineRule="exact"/>
        <w:ind w:left="40" w:right="0" w:firstLine="700"/>
      </w:pPr>
      <w:r>
        <w:rPr>
          <w:lang w:val="ru-RU" w:eastAsia="ru-RU" w:bidi="ru-RU"/>
          <w:w w:val="100"/>
          <w:spacing w:val="0"/>
          <w:color w:val="000000"/>
          <w:position w:val="0"/>
        </w:rPr>
        <w:t>рассмотрение жалобы проводилось дистанционно (посредством видеоконференцсвязи) в целях исполнения Указа Мэра Москвы от 25.09.2020 №</w:t>
        <w:tab/>
        <w:t>92-УМ «О внесении изменений в правовые акты города Москвы»</w:t>
      </w:r>
    </w:p>
    <w:p>
      <w:pPr>
        <w:pStyle w:val="Style5"/>
        <w:widowControl w:val="0"/>
        <w:keepNext w:val="0"/>
        <w:keepLines w:val="0"/>
        <w:shd w:val="clear" w:color="auto" w:fill="auto"/>
        <w:bidi w:val="0"/>
        <w:spacing w:before="0" w:after="0" w:line="322" w:lineRule="exact"/>
        <w:ind w:left="40" w:right="0" w:firstLine="0"/>
      </w:pPr>
      <w:r>
        <w:rPr>
          <w:lang w:val="ru-RU" w:eastAsia="ru-RU" w:bidi="ru-RU"/>
          <w:w w:val="100"/>
          <w:spacing w:val="0"/>
          <w:color w:val="000000"/>
          <w:position w:val="0"/>
        </w:rPr>
        <w:t xml:space="preserve">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5"/>
        <w:widowControl w:val="0"/>
        <w:keepNext w:val="0"/>
        <w:keepLines w:val="0"/>
        <w:shd w:val="clear" w:color="auto" w:fill="auto"/>
        <w:bidi w:val="0"/>
        <w:jc w:val="left"/>
        <w:spacing w:before="0" w:after="0" w:line="322" w:lineRule="exact"/>
        <w:ind w:left="40" w:right="0" w:firstLine="700"/>
      </w:pPr>
      <w:r>
        <w:rPr>
          <w:lang w:val="ru-RU" w:eastAsia="ru-RU" w:bidi="ru-RU"/>
          <w:w w:val="100"/>
          <w:spacing w:val="0"/>
          <w:color w:val="000000"/>
          <w:position w:val="0"/>
        </w:rPr>
        <w:t>при участии представителя ГБУЗ «Центр Крови имени О.К. Гаврилова ДЗМ»: Л.В. Чабдаровой (по дов. №20 от 29.04.2021),</w:t>
      </w:r>
    </w:p>
    <w:p>
      <w:pPr>
        <w:pStyle w:val="Style5"/>
        <w:widowControl w:val="0"/>
        <w:keepNext w:val="0"/>
        <w:keepLines w:val="0"/>
        <w:shd w:val="clear" w:color="auto" w:fill="auto"/>
        <w:bidi w:val="0"/>
        <w:spacing w:before="0" w:after="0" w:line="322" w:lineRule="exact"/>
        <w:ind w:left="40" w:right="20" w:firstLine="700"/>
      </w:pPr>
      <w:r>
        <w:rPr>
          <w:lang w:val="ru-RU" w:eastAsia="ru-RU" w:bidi="ru-RU"/>
          <w:w w:val="100"/>
          <w:spacing w:val="0"/>
          <w:color w:val="000000"/>
          <w:position w:val="0"/>
        </w:rPr>
        <w:t>в отсутствие представителей ИП Бабаян Э.А. о времени и порядке заседания Комиссии Управления уведомлены надлежащим образом письмом Московского УФАС России от 20.10.2021 № ЕИ/64195/21,</w:t>
      </w:r>
    </w:p>
    <w:p>
      <w:pPr>
        <w:pStyle w:val="Style3"/>
        <w:framePr w:w="1685" w:h="394" w:wrap="around" w:vAnchor="text" w:hAnchor="margin" w:x="385" w:y="1436"/>
        <w:widowControl w:val="0"/>
        <w:keepNext w:val="0"/>
        <w:keepLines w:val="0"/>
        <w:shd w:val="clear" w:color="auto" w:fill="auto"/>
        <w:bidi w:val="0"/>
        <w:jc w:val="left"/>
        <w:spacing w:before="0" w:after="0" w:line="240" w:lineRule="auto"/>
        <w:ind w:left="0" w:right="0" w:firstLine="0"/>
      </w:pPr>
      <w:r>
        <w:rPr>
          <w:w w:val="100"/>
          <w:spacing w:val="0"/>
          <w:color w:val="000000"/>
          <w:position w:val="0"/>
        </w:rPr>
        <w:t>001267228757</w:t>
      </w:r>
    </w:p>
    <w:p>
      <w:pPr>
        <w:pStyle w:val="Style5"/>
        <w:widowControl w:val="0"/>
        <w:keepNext w:val="0"/>
        <w:keepLines w:val="0"/>
        <w:shd w:val="clear" w:color="auto" w:fill="auto"/>
        <w:bidi w:val="0"/>
        <w:spacing w:before="0" w:after="0" w:line="322" w:lineRule="exact"/>
        <w:ind w:left="40" w:right="0" w:firstLine="700"/>
      </w:pPr>
      <w:r>
        <w:rPr>
          <w:lang w:val="ru-RU" w:eastAsia="ru-RU" w:bidi="ru-RU"/>
          <w:w w:val="100"/>
          <w:spacing w:val="0"/>
          <w:color w:val="000000"/>
          <w:position w:val="0"/>
        </w:rPr>
        <w:t>рассмотрев жалобу ИП Бабаян Э.А. (далее — Заявитель) на действия ГБУЗ «Центр Крови имени О.К. Гаврилова ДЗМ» (далее — Заказчик) при проведении электронного аукциона на право заключения государственного контракта на (выполнение работ) оказание услуг по вывозу и утилизации снега для</w:t>
      </w:r>
      <w:r>
        <w:br w:type="page"/>
      </w:r>
    </w:p>
    <w:p>
      <w:pPr>
        <w:pStyle w:val="Style5"/>
        <w:tabs>
          <w:tab w:leader="none" w:pos="10206" w:val="right"/>
        </w:tabs>
        <w:widowControl w:val="0"/>
        <w:keepNext w:val="0"/>
        <w:keepLines w:val="0"/>
        <w:shd w:val="clear" w:color="auto" w:fill="auto"/>
        <w:bidi w:val="0"/>
        <w:spacing w:before="0" w:after="0" w:line="322" w:lineRule="exact"/>
        <w:ind w:left="20" w:right="20" w:firstLine="0"/>
      </w:pPr>
      <w:r>
        <w:rPr>
          <w:lang w:val="ru-RU" w:eastAsia="ru-RU" w:bidi="ru-RU"/>
          <w:w w:val="100"/>
          <w:spacing w:val="0"/>
          <w:color w:val="000000"/>
          <w:position w:val="0"/>
        </w:rPr>
        <w:t>Государственного бюджетного учреждения здравоохранения города Москвы «Центр крови имени О.К. Гаврилова Департамента здравоохранения города Москвы» в 2021-2022 гг. (Закупка № 0373200020221000088) (далее - электронный аукцион, аукцион) в соответствии с Федеральным законом от 05.04.2013</w:t>
        <w:tab/>
        <w:t>№44-ФЗ</w:t>
      </w:r>
    </w:p>
    <w:p>
      <w:pPr>
        <w:pStyle w:val="Style5"/>
        <w:widowControl w:val="0"/>
        <w:keepNext w:val="0"/>
        <w:keepLines w:val="0"/>
        <w:shd w:val="clear" w:color="auto" w:fill="auto"/>
        <w:bidi w:val="0"/>
        <w:spacing w:before="0" w:after="349" w:line="322" w:lineRule="exact"/>
        <w:ind w:left="20" w:right="20" w:firstLine="0"/>
      </w:pPr>
      <w:r>
        <w:rPr>
          <w:lang w:val="ru-RU" w:eastAsia="ru-RU" w:bidi="ru-RU"/>
          <w:w w:val="100"/>
          <w:spacing w:val="0"/>
          <w:color w:val="000000"/>
          <w:position w:val="0"/>
        </w:rPr>
        <w:t>«О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 Административный регламент),</w:t>
      </w:r>
    </w:p>
    <w:p>
      <w:pPr>
        <w:pStyle w:val="Style9"/>
        <w:widowControl w:val="0"/>
        <w:keepNext/>
        <w:keepLines/>
        <w:shd w:val="clear" w:color="auto" w:fill="auto"/>
        <w:bidi w:val="0"/>
        <w:jc w:val="left"/>
        <w:spacing w:before="0" w:after="303" w:line="260" w:lineRule="exact"/>
        <w:ind w:left="440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В Московское УФАС России поступила жалоба Заявителя на действия аукционной комиссии Заказчика при проведении вышеуказанного аукциона.</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Заявитель обжалует действия аукционной комиссии Заказчика, выразившиеся в признании заявки Заявителя не соответствующей требованиям аукционной документации без обоснования такого решения в протоколе подведения итогов электронного аукциона.</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На заседании Комиссии Управления Заказчиком представлены документы и сведения, запрашиваемые письмом Московского УФАС России от 20.10.2021 № ЕИ/64195/21.</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В результате рассмотрения жалобы, рассмотрев представленные документы и сведения, Комиссия Управления установила следующее.</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Согласно протоколу подведения итогов электронного аукциона от 15.10.2021 №0373200020221000088-3-1 заявка ИП Бабаян Э.А. отклонена по следующему основанию: «Непредставление документов и информации, которые предусмотрены ч. 11 ст. 24.1, ч.5 ст.66 Закона о контрактной системе,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 xml:space="preserve">Согласно ч.8 ст.69 Закона о контрактной системе, результаты рассмотрения заявок на участие в электронном аукционе фиксируются в протоколе подведения итогов такого аукциона, который подписывается всеми участвовавшими в рассмотрении этих заявок членами аукционной комиссии, и не позднее рабочего дня, следующего за датой подписания указанного протокола, размещаются заказчиком на электронной площадке и в единой информационной системе. Указанный протокол должен содержать информацию о идентификационных номерах пяти заявок на участие в таком аукционе (в случае принятия решения о соответствии пяти заявок на участие в таком аукционе требованиям, установленным документацией о таком аукционе, или в случае принятия аукционной комиссией на основании рассмотрения вторых частей заявок на участие в таком аукционе, поданных всеми участниками такого аукциона, принявшими участие в нем, решения о соответствии более чем одной заявки на участие в таком аукционе, но менее чем пяти данных заявок установленным требованиям), которые ранжированы в соответствии с ч. 18 ст. 68 Закона о контрактной системе и в отношении которых принято решение о соответствии требованиям, установленным документацией о таком аукционе, или, если на основании рассмотрения вторых частей заявок на участие в таком аукционе, поданных всеми его участниками, принявшими участие в нем, принято решение о соответствии установленным требованиям более чем одной заявки на участие в таком аукционе, но менее чем пяти данных заявок, а также информацию об их идентификационных номерах, </w:t>
      </w:r>
      <w:r>
        <w:rPr>
          <w:rStyle w:val="CharStyle11"/>
        </w:rPr>
        <w:t>решение о соответствии или о несоответствии</w:t>
      </w:r>
      <w:r>
        <w:rPr>
          <w:lang w:val="ru-RU" w:eastAsia="ru-RU" w:bidi="ru-RU"/>
          <w:w w:val="100"/>
          <w:spacing w:val="0"/>
          <w:color w:val="000000"/>
          <w:position w:val="0"/>
        </w:rPr>
        <w:t xml:space="preserve"> </w:t>
      </w:r>
      <w:r>
        <w:rPr>
          <w:rStyle w:val="CharStyle11"/>
        </w:rPr>
        <w:t>заявок на участие в таком аукционе требованиям, установленным документацией о</w:t>
      </w:r>
      <w:r>
        <w:rPr>
          <w:lang w:val="ru-RU" w:eastAsia="ru-RU" w:bidi="ru-RU"/>
          <w:w w:val="100"/>
          <w:spacing w:val="0"/>
          <w:color w:val="000000"/>
          <w:position w:val="0"/>
        </w:rPr>
        <w:t xml:space="preserve"> </w:t>
      </w:r>
      <w:r>
        <w:rPr>
          <w:rStyle w:val="CharStyle11"/>
        </w:rPr>
        <w:t>нем, с обоснованием этого решения</w:t>
      </w:r>
      <w:r>
        <w:rPr>
          <w:lang w:val="ru-RU" w:eastAsia="ru-RU" w:bidi="ru-RU"/>
          <w:w w:val="100"/>
          <w:spacing w:val="0"/>
          <w:color w:val="000000"/>
          <w:position w:val="0"/>
        </w:rPr>
        <w:t xml:space="preserve"> и с указанием положений Закона о контрактной системе, которым не соответствует участник такого аукциона,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 информацию о решении каждого члена аукционной комиссии в отношении каждой заявки на участие в таком аукционе.</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Вместе с тем, исходя из приведенной в протоколе подведения итогов электронного аукциона от 15.10.2021 №0373200020221000088-3-1 формулировки, не представляется возможным определить точную причину отклонения заявки ИП Бабаян Э.А.</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Между тем в целях обеспечения гласности и прозрачности осуществления закупок, предотвращения коррупции и других злоупотреблений в указанной сфере, представляется возможным сделать вывод о том, что обязательному доведению до сведения участников закупки подлежит вся информация, касающаяся хода и результатов рассмотрения их заявок на участие в названной закупке, поскольку упомянутые результаты напрямую затрагивают права и законные интересы таких участников.</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Кроме того, такая информация должна детально раскрывать причины отклонения поданной заявки с указанием на то, какие именно положениям закупочной документации не соответствует такая заявка и в какой именно ее части, с тем, чтобы исключить возможность заказчиков в последующем субъективно трактовать причины такого отклонения и предоставить участникам закупки возможность в случае несогласия с таким решением заказчика оспорить в установленном законом порядке.</w:t>
      </w:r>
    </w:p>
    <w:p>
      <w:pPr>
        <w:pStyle w:val="Style5"/>
        <w:tabs>
          <w:tab w:leader="none" w:pos="4326" w:val="left"/>
          <w:tab w:leader="none" w:pos="6562" w:val="left"/>
          <w:tab w:leader="none" w:pos="10210" w:val="right"/>
        </w:tabs>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Названный правовой подход наиболее полно отвечает законодательно закрепленному принципу равенства участников гражданских правоотношений (ч. 1 ст. 1 Гражданского кодекса Российской Федерации), и данного подхода последовательно придерживаются арбитражные суды Московского округа, в частности по делам №№</w:t>
        <w:tab/>
        <w:t>А40-137048/12,</w:t>
        <w:tab/>
        <w:t>А40-5013/14,</w:t>
        <w:tab/>
        <w:t>А40-43124/14,</w:t>
      </w:r>
    </w:p>
    <w:p>
      <w:pPr>
        <w:pStyle w:val="Style5"/>
        <w:widowControl w:val="0"/>
        <w:keepNext w:val="0"/>
        <w:keepLines w:val="0"/>
        <w:shd w:val="clear" w:color="auto" w:fill="auto"/>
        <w:bidi w:val="0"/>
        <w:spacing w:before="0" w:after="0" w:line="322" w:lineRule="exact"/>
        <w:ind w:left="20" w:right="0" w:firstLine="0"/>
      </w:pPr>
      <w:r>
        <w:rPr>
          <w:lang w:val="ru-RU" w:eastAsia="ru-RU" w:bidi="ru-RU"/>
          <w:w w:val="100"/>
          <w:spacing w:val="0"/>
          <w:color w:val="000000"/>
          <w:position w:val="0"/>
        </w:rPr>
        <w:t>А40-219113/14.</w:t>
      </w:r>
    </w:p>
    <w:p>
      <w:pPr>
        <w:pStyle w:val="Style5"/>
        <w:tabs>
          <w:tab w:leader="none" w:pos="6002" w:val="left"/>
        </w:tabs>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Таким образом, аукционной комиссией в нарушение ч. 8 ст. 69 Закона о контрактной системе в протоколе подведения итогов электронного аукциона не указано обоснование принятого решения</w:t>
        <w:tab/>
        <w:t>о признании его заявки не</w:t>
      </w:r>
    </w:p>
    <w:p>
      <w:pPr>
        <w:pStyle w:val="Style5"/>
        <w:tabs>
          <w:tab w:leader="none" w:pos="6002" w:val="left"/>
        </w:tabs>
        <w:widowControl w:val="0"/>
        <w:keepNext w:val="0"/>
        <w:keepLines w:val="0"/>
        <w:shd w:val="clear" w:color="auto" w:fill="auto"/>
        <w:bidi w:val="0"/>
        <w:spacing w:before="0" w:after="0" w:line="322" w:lineRule="exact"/>
        <w:ind w:left="20" w:right="0" w:firstLine="0"/>
      </w:pPr>
      <w:r>
        <w:rPr>
          <w:lang w:val="ru-RU" w:eastAsia="ru-RU" w:bidi="ru-RU"/>
          <w:w w:val="100"/>
          <w:spacing w:val="0"/>
          <w:color w:val="000000"/>
          <w:position w:val="0"/>
        </w:rPr>
        <w:t>соответствующей требованиям аукционной</w:t>
        <w:tab/>
        <w:t>документации по результатам</w:t>
      </w:r>
    </w:p>
    <w:p>
      <w:pPr>
        <w:pStyle w:val="Style5"/>
        <w:tabs>
          <w:tab w:leader="none" w:pos="6002" w:val="left"/>
        </w:tabs>
        <w:widowControl w:val="0"/>
        <w:keepNext w:val="0"/>
        <w:keepLines w:val="0"/>
        <w:shd w:val="clear" w:color="auto" w:fill="auto"/>
        <w:bidi w:val="0"/>
        <w:spacing w:before="0" w:after="0" w:line="322" w:lineRule="exact"/>
        <w:ind w:left="20" w:right="0" w:firstLine="0"/>
      </w:pPr>
      <w:r>
        <w:rPr>
          <w:lang w:val="ru-RU" w:eastAsia="ru-RU" w:bidi="ru-RU"/>
          <w:w w:val="100"/>
          <w:spacing w:val="0"/>
          <w:color w:val="000000"/>
          <w:position w:val="0"/>
        </w:rPr>
        <w:t>рассмотрения вторых частей заявок с</w:t>
        <w:tab/>
        <w:t>указанием положений Закона</w:t>
      </w:r>
    </w:p>
    <w:p>
      <w:pPr>
        <w:pStyle w:val="Style5"/>
        <w:widowControl w:val="0"/>
        <w:keepNext w:val="0"/>
        <w:keepLines w:val="0"/>
        <w:shd w:val="clear" w:color="auto" w:fill="auto"/>
        <w:bidi w:val="0"/>
        <w:spacing w:before="0" w:after="0" w:line="322" w:lineRule="exact"/>
        <w:ind w:left="20" w:right="20" w:firstLine="0"/>
      </w:pPr>
      <w:r>
        <w:rPr>
          <w:lang w:val="ru-RU" w:eastAsia="ru-RU" w:bidi="ru-RU"/>
          <w:w w:val="100"/>
          <w:spacing w:val="0"/>
          <w:color w:val="000000"/>
          <w:position w:val="0"/>
        </w:rPr>
        <w:t>о контрактной системе, которым не соответствует участник такого аукциона,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 что содержит признаки состава административного правонарушения, ответственность за которое предусмотрена ч.2.1 ст.7.30 Кодекса Российской Федерации об административных правонарушениях.</w:t>
      </w:r>
    </w:p>
    <w:p>
      <w:pPr>
        <w:pStyle w:val="Style5"/>
        <w:widowControl w:val="0"/>
        <w:keepNext w:val="0"/>
        <w:keepLines w:val="0"/>
        <w:shd w:val="clear" w:color="auto" w:fill="auto"/>
        <w:bidi w:val="0"/>
        <w:spacing w:before="0" w:after="349" w:line="322" w:lineRule="exact"/>
        <w:ind w:left="20" w:right="20" w:firstLine="700"/>
      </w:pPr>
      <w:r>
        <w:rPr>
          <w:lang w:val="ru-RU" w:eastAsia="ru-RU" w:bidi="ru-RU"/>
          <w:w w:val="100"/>
          <w:spacing w:val="0"/>
          <w:color w:val="000000"/>
          <w:position w:val="0"/>
        </w:rPr>
        <w:t>Исследовав представленные материалы, руководствуясь Административным регламентом, утвержденным приказом ФАС России от 19.11.2014 № 727/14, Законом о контрактной системе, Комиссия Управления</w:t>
      </w:r>
    </w:p>
    <w:p>
      <w:pPr>
        <w:pStyle w:val="Style9"/>
        <w:widowControl w:val="0"/>
        <w:keepNext/>
        <w:keepLines/>
        <w:shd w:val="clear" w:color="auto" w:fill="auto"/>
        <w:bidi w:val="0"/>
        <w:jc w:val="left"/>
        <w:spacing w:before="0" w:after="303" w:line="260" w:lineRule="exact"/>
        <w:ind w:left="4600" w:right="0" w:firstLine="0"/>
      </w:pPr>
      <w:bookmarkStart w:id="1" w:name="bookmark1"/>
      <w:r>
        <w:rPr>
          <w:lang w:val="ru-RU" w:eastAsia="ru-RU" w:bidi="ru-RU"/>
          <w:w w:val="100"/>
          <w:spacing w:val="0"/>
          <w:color w:val="000000"/>
          <w:position w:val="0"/>
        </w:rPr>
        <w:t>Р Е Ш И Л А:</w:t>
      </w:r>
      <w:bookmarkEnd w:id="1"/>
    </w:p>
    <w:p>
      <w:pPr>
        <w:pStyle w:val="Style5"/>
        <w:numPr>
          <w:ilvl w:val="0"/>
          <w:numId w:val="1"/>
        </w:numPr>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 xml:space="preserve"> Признать жалобу ИП Бабаян Э.А. на действия аукционной комиссии ГБУЗ «Центр Крови имени О.К. Гаврилова ДЗМ» обоснованной.</w:t>
      </w:r>
    </w:p>
    <w:p>
      <w:pPr>
        <w:pStyle w:val="Style5"/>
        <w:numPr>
          <w:ilvl w:val="0"/>
          <w:numId w:val="1"/>
        </w:numPr>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 xml:space="preserve"> Признать в действиях аукционной комиссии Заказчика нарушение ч.8 ст.69 Закона о контрактной системе.</w:t>
      </w:r>
    </w:p>
    <w:p>
      <w:pPr>
        <w:pStyle w:val="Style5"/>
        <w:numPr>
          <w:ilvl w:val="0"/>
          <w:numId w:val="1"/>
        </w:numPr>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 xml:space="preserve"> Выдать Заказчику, аукционной комиссии Заказчика обязательное для исполнения предписание об устранении нарушений законодательства о контрактной системе.</w:t>
      </w:r>
    </w:p>
    <w:p>
      <w:pPr>
        <w:pStyle w:val="Style5"/>
        <w:numPr>
          <w:ilvl w:val="0"/>
          <w:numId w:val="1"/>
        </w:numPr>
        <w:widowControl w:val="0"/>
        <w:keepNext w:val="0"/>
        <w:keepLines w:val="0"/>
        <w:shd w:val="clear" w:color="auto" w:fill="auto"/>
        <w:bidi w:val="0"/>
        <w:spacing w:before="0" w:after="296" w:line="317" w:lineRule="exact"/>
        <w:ind w:left="20" w:right="20" w:firstLine="700"/>
      </w:pPr>
      <w:r>
        <w:rPr>
          <w:lang w:val="ru-RU" w:eastAsia="ru-RU" w:bidi="ru-RU"/>
          <w:w w:val="100"/>
          <w:spacing w:val="0"/>
          <w:color w:val="000000"/>
          <w:position w:val="0"/>
        </w:rPr>
        <w:t xml:space="preserve"> 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5"/>
        <w:widowControl w:val="0"/>
        <w:keepNext w:val="0"/>
        <w:keepLines w:val="0"/>
        <w:shd w:val="clear" w:color="auto" w:fill="auto"/>
        <w:bidi w:val="0"/>
        <w:spacing w:before="0" w:after="35" w:line="322" w:lineRule="exact"/>
        <w:ind w:left="20" w:right="20" w:firstLine="70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5"/>
        <w:tabs>
          <w:tab w:leader="none" w:pos="8662" w:val="center"/>
          <w:tab w:leader="none" w:pos="10189" w:val="right"/>
        </w:tabs>
        <w:widowControl w:val="0"/>
        <w:keepNext w:val="0"/>
        <w:keepLines w:val="0"/>
        <w:shd w:val="clear" w:color="auto" w:fill="auto"/>
        <w:bidi w:val="0"/>
        <w:spacing w:before="0" w:after="0" w:line="653" w:lineRule="exact"/>
        <w:ind w:left="20" w:right="0" w:firstLine="0"/>
      </w:pPr>
      <w:r>
        <w:rPr>
          <w:lang w:val="ru-RU" w:eastAsia="ru-RU" w:bidi="ru-RU"/>
          <w:w w:val="100"/>
          <w:spacing w:val="0"/>
          <w:color w:val="000000"/>
          <w:position w:val="0"/>
        </w:rPr>
        <w:t>Заместитель председателя Комиссии</w:t>
        <w:tab/>
        <w:t>Е.А.</w:t>
        <w:tab/>
        <w:t>Миронова</w:t>
      </w:r>
    </w:p>
    <w:p>
      <w:pPr>
        <w:pStyle w:val="Style5"/>
        <w:tabs>
          <w:tab w:leader="none" w:pos="8662" w:val="center"/>
          <w:tab w:leader="none" w:pos="10189" w:val="right"/>
        </w:tabs>
        <w:widowControl w:val="0"/>
        <w:keepNext w:val="0"/>
        <w:keepLines w:val="0"/>
        <w:shd w:val="clear" w:color="auto" w:fill="auto"/>
        <w:bidi w:val="0"/>
        <w:spacing w:before="0" w:after="0" w:line="653" w:lineRule="exact"/>
        <w:ind w:left="20" w:right="0" w:firstLine="0"/>
      </w:pPr>
      <w:r>
        <w:rPr>
          <w:lang w:val="ru-RU" w:eastAsia="ru-RU" w:bidi="ru-RU"/>
          <w:w w:val="100"/>
          <w:spacing w:val="0"/>
          <w:color w:val="000000"/>
          <w:position w:val="0"/>
        </w:rPr>
        <w:t>Члены Комиссии:</w:t>
        <w:tab/>
        <w:t>А.З.</w:t>
        <w:tab/>
        <w:t>Касимова</w:t>
      </w:r>
    </w:p>
    <w:p>
      <w:pPr>
        <w:pStyle w:val="Style5"/>
        <w:widowControl w:val="0"/>
        <w:keepNext w:val="0"/>
        <w:keepLines w:val="0"/>
        <w:shd w:val="clear" w:color="auto" w:fill="auto"/>
        <w:bidi w:val="0"/>
        <w:jc w:val="right"/>
        <w:spacing w:before="0" w:after="1286" w:line="653" w:lineRule="exact"/>
        <w:ind w:left="0" w:right="20" w:firstLine="0"/>
      </w:pPr>
      <w:r>
        <w:rPr>
          <w:lang w:val="ru-RU" w:eastAsia="ru-RU" w:bidi="ru-RU"/>
          <w:w w:val="100"/>
          <w:spacing w:val="0"/>
          <w:color w:val="000000"/>
          <w:position w:val="0"/>
        </w:rPr>
        <w:t>А.А. Матюшенко</w:t>
      </w:r>
    </w:p>
    <w:p>
      <w:pPr>
        <w:pStyle w:val="Style12"/>
        <w:widowControl w:val="0"/>
        <w:keepNext w:val="0"/>
        <w:keepLines w:val="0"/>
        <w:shd w:val="clear" w:color="auto" w:fill="auto"/>
        <w:bidi w:val="0"/>
        <w:spacing w:before="0" w:after="0" w:line="170" w:lineRule="exact"/>
        <w:ind w:left="20" w:right="0" w:firstLine="0"/>
      </w:pPr>
      <w:r>
        <w:rPr>
          <w:lang w:val="ru-RU" w:eastAsia="ru-RU" w:bidi="ru-RU"/>
          <w:w w:val="100"/>
          <w:spacing w:val="0"/>
          <w:color w:val="000000"/>
          <w:position w:val="0"/>
        </w:rPr>
        <w:t>Исп. Касимова А.З. 8 (495) 784-75-05</w:t>
      </w:r>
    </w:p>
    <w:sectPr>
      <w:footnotePr>
        <w:pos w:val="pageBottom"/>
        <w:numFmt w:val="decimal"/>
        <w:numRestart w:val="continuous"/>
      </w:footnotePr>
      <w:type w:val="continuous"/>
      <w:pgSz w:w="11906" w:h="16838"/>
      <w:pgMar w:top="1113" w:left="843" w:right="819" w:bottom="103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2)_"/>
    <w:basedOn w:val="DefaultParagraphFont"/>
    <w:link w:val="Style7"/>
    <w:rPr>
      <w:b/>
      <w:bCs/>
      <w:i w:val="0"/>
      <w:iCs w:val="0"/>
      <w:u w:val="none"/>
      <w:strike w:val="0"/>
      <w:smallCaps w:val="0"/>
      <w:sz w:val="26"/>
      <w:szCs w:val="26"/>
      <w:rFonts w:ascii="Times New Roman" w:eastAsia="Times New Roman" w:hAnsi="Times New Roman" w:cs="Times New Roman"/>
    </w:rPr>
  </w:style>
  <w:style w:type="character" w:customStyle="1" w:styleId="CharStyle10">
    <w:name w:val="Заголовок №1_"/>
    <w:basedOn w:val="DefaultParagraphFont"/>
    <w:link w:val="Style9"/>
    <w:rPr>
      <w:b/>
      <w:bCs/>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w:basedOn w:val="CharStyle6"/>
    <w:rPr>
      <w:lang w:val="ru-RU" w:eastAsia="ru-RU" w:bidi="ru-RU"/>
      <w:u w:val="single"/>
      <w:w w:val="100"/>
      <w:spacing w:val="0"/>
      <w:color w:val="000000"/>
      <w:position w:val="0"/>
    </w:rPr>
  </w:style>
  <w:style w:type="character" w:customStyle="1" w:styleId="CharStyle13">
    <w:name w:val="Основной текст (3)_"/>
    <w:basedOn w:val="DefaultParagraphFont"/>
    <w:link w:val="Style12"/>
    <w:rPr>
      <w:b w:val="0"/>
      <w:bCs w:val="0"/>
      <w:i w:val="0"/>
      <w:iCs w:val="0"/>
      <w:u w:val="none"/>
      <w:strike w:val="0"/>
      <w:smallCaps w:val="0"/>
      <w:sz w:val="17"/>
      <w:szCs w:val="17"/>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jc w:val="both"/>
      <w:spacing w:line="326"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spacing w:before="660" w:line="322" w:lineRule="exact"/>
      <w:ind w:firstLine="4360"/>
    </w:pPr>
    <w:rPr>
      <w:b/>
      <w:bCs/>
      <w:i w:val="0"/>
      <w:iCs w:val="0"/>
      <w:u w:val="none"/>
      <w:strike w:val="0"/>
      <w:smallCaps w:val="0"/>
      <w:sz w:val="26"/>
      <w:szCs w:val="26"/>
      <w:rFonts w:ascii="Times New Roman" w:eastAsia="Times New Roman" w:hAnsi="Times New Roman" w:cs="Times New Roman"/>
    </w:rPr>
  </w:style>
  <w:style w:type="paragraph" w:customStyle="1" w:styleId="Style9">
    <w:name w:val="Заголовок №1"/>
    <w:basedOn w:val="Normal"/>
    <w:link w:val="CharStyle10"/>
    <w:pPr>
      <w:widowControl w:val="0"/>
      <w:shd w:val="clear" w:color="auto" w:fill="FFFFFF"/>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jc w:val="both"/>
      <w:spacing w:before="900" w:line="0" w:lineRule="exact"/>
    </w:pPr>
    <w:rPr>
      <w:b w:val="0"/>
      <w:bCs w:val="0"/>
      <w:i w:val="0"/>
      <w:iCs w:val="0"/>
      <w:u w:val="none"/>
      <w:strike w:val="0"/>
      <w:smallCaps w:val="0"/>
      <w:sz w:val="17"/>
      <w:szCs w:val="17"/>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