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707" w:h="3815" w:wrap="around" w:vAnchor="text" w:hAnchor="margin" w:x="-568" w:y="-56"/>
        <w:widowControl w:val="0"/>
        <w:keepNext w:val="0"/>
        <w:keepLines w:val="0"/>
        <w:shd w:val="clear" w:color="auto" w:fill="auto"/>
        <w:bidi w:val="0"/>
        <w:jc w:val="center"/>
        <w:spacing w:before="0" w:after="124" w:line="288" w:lineRule="exact"/>
        <w:ind w:left="20" w:right="0" w:firstLine="0"/>
      </w:pPr>
      <w:r>
        <w:rPr>
          <w:rStyle w:val="CharStyle5"/>
          <w:b/>
          <w:bCs/>
          <w:spacing w:val="0"/>
        </w:rPr>
        <w:t>ФЕДЕРАЛЬНАЯ АНТИМОНОПОЛЬНАЯ СЛУЖБА</w:t>
      </w:r>
    </w:p>
    <w:p>
      <w:pPr>
        <w:pStyle w:val="Style3"/>
        <w:framePr w:w="3707" w:h="3815" w:wrap="around" w:vAnchor="text" w:hAnchor="margin" w:x="-568" w:y="-56"/>
        <w:widowControl w:val="0"/>
        <w:keepNext w:val="0"/>
        <w:keepLines w:val="0"/>
        <w:shd w:val="clear" w:color="auto" w:fill="auto"/>
        <w:bidi w:val="0"/>
        <w:jc w:val="center"/>
        <w:spacing w:before="0" w:after="155" w:line="283" w:lineRule="exact"/>
        <w:ind w:left="20" w:right="0" w:firstLine="0"/>
      </w:pPr>
      <w:r>
        <w:rPr>
          <w:rStyle w:val="CharStyle5"/>
          <w:b/>
          <w:bCs/>
          <w:spacing w:val="0"/>
        </w:rPr>
        <w:t>Управление Федеральной антимонопольной службы по Республике Тыва</w:t>
      </w:r>
    </w:p>
    <w:p>
      <w:pPr>
        <w:pStyle w:val="Style6"/>
        <w:framePr w:w="3707" w:h="3815" w:wrap="around" w:vAnchor="text" w:hAnchor="margin" w:x="-568" w:y="-56"/>
        <w:widowControl w:val="0"/>
        <w:keepNext w:val="0"/>
        <w:keepLines w:val="0"/>
        <w:shd w:val="clear" w:color="auto" w:fill="auto"/>
        <w:bidi w:val="0"/>
        <w:jc w:val="center"/>
        <w:spacing w:before="0" w:after="40"/>
        <w:ind w:left="20" w:right="0" w:firstLine="0"/>
      </w:pPr>
      <w:r>
        <w:rPr>
          <w:rStyle w:val="CharStyle8"/>
          <w:spacing w:val="0"/>
        </w:rPr>
        <w:t xml:space="preserve">ул. </w:t>
      </w:r>
      <w:r>
        <w:rPr>
          <w:rStyle w:val="CharStyle9"/>
          <w:spacing w:val="0"/>
        </w:rPr>
        <w:t xml:space="preserve">Комсомольская, </w:t>
      </w:r>
      <w:r>
        <w:rPr>
          <w:rStyle w:val="CharStyle8"/>
          <w:spacing w:val="0"/>
        </w:rPr>
        <w:t xml:space="preserve">122 А г. Кызыл, </w:t>
      </w:r>
      <w:r>
        <w:rPr>
          <w:rStyle w:val="CharStyle9"/>
          <w:spacing w:val="0"/>
        </w:rPr>
        <w:t xml:space="preserve">667007 тел/факс </w:t>
      </w:r>
      <w:r>
        <w:rPr>
          <w:rStyle w:val="CharStyle8"/>
          <w:spacing w:val="0"/>
        </w:rPr>
        <w:t xml:space="preserve">(39422) 6-67-88 </w:t>
      </w:r>
      <w:r>
        <w:rPr>
          <w:rStyle w:val="CharStyle9"/>
          <w:lang w:val="en-US" w:eastAsia="en-US" w:bidi="en-US"/>
          <w:spacing w:val="0"/>
        </w:rPr>
        <w:t xml:space="preserve">e-mail: </w:t>
      </w:r>
      <w:r>
        <w:fldChar w:fldCharType="begin"/>
      </w:r>
      <w:r>
        <w:rPr>
          <w:rStyle w:val="CharStyle9"/>
        </w:rPr>
        <w:instrText> HYPERLINK "mailto:tol7@fas.gov.ru" </w:instrText>
      </w:r>
      <w:r>
        <w:fldChar w:fldCharType="separate"/>
      </w:r>
      <w:r>
        <w:rPr>
          <w:rStyle w:val="Hyperlink"/>
          <w:lang w:val="en-US" w:eastAsia="en-US" w:bidi="en-US"/>
          <w:spacing w:val="0"/>
        </w:rPr>
        <w:t>tol7@fas.gov.ru</w:t>
      </w:r>
      <w:r>
        <w:fldChar w:fldCharType="end"/>
      </w:r>
    </w:p>
    <w:p>
      <w:pPr>
        <w:pStyle w:val="Style10"/>
        <w:framePr w:w="3707" w:h="3815" w:wrap="around" w:vAnchor="text" w:hAnchor="margin" w:x="-568" w:y="-56"/>
        <w:widowControl w:val="0"/>
        <w:keepNext w:val="0"/>
        <w:keepLines w:val="0"/>
        <w:shd w:val="clear" w:color="auto" w:fill="auto"/>
        <w:bidi w:val="0"/>
        <w:spacing w:before="0" w:after="274" w:line="340" w:lineRule="exact"/>
        <w:ind w:left="20" w:right="0" w:firstLine="0"/>
      </w:pPr>
      <w:r>
        <w:rPr>
          <w:rStyle w:val="CharStyle12"/>
          <w:i/>
          <w:iCs/>
          <w:spacing w:val="0"/>
        </w:rPr>
        <w:t>М.и&gt;.1ом</w:t>
      </w:r>
      <w:r>
        <w:rPr>
          <w:rStyle w:val="CharStyle13"/>
          <w:i w:val="0"/>
          <w:iCs w:val="0"/>
          <w:spacing w:val="20"/>
        </w:rPr>
        <w:t xml:space="preserve"> </w:t>
      </w:r>
      <w:r>
        <w:rPr>
          <w:rStyle w:val="CharStyle13"/>
          <w:vertAlign w:val="subscript"/>
          <w:i w:val="0"/>
          <w:iCs w:val="0"/>
          <w:spacing w:val="20"/>
        </w:rPr>
        <w:t>№</w:t>
      </w:r>
      <w:r>
        <w:rPr>
          <w:rStyle w:val="CharStyle13"/>
          <w:i w:val="0"/>
          <w:iCs w:val="0"/>
          <w:spacing w:val="20"/>
        </w:rPr>
        <w:t xml:space="preserve"> </w:t>
      </w:r>
      <w:r>
        <w:rPr>
          <w:rStyle w:val="CharStyle14"/>
          <w:i w:val="0"/>
          <w:iCs w:val="0"/>
          <w:spacing w:val="20"/>
        </w:rPr>
        <w:t>/-/W</w:t>
      </w:r>
    </w:p>
    <w:p>
      <w:pPr>
        <w:pStyle w:val="Style6"/>
        <w:framePr w:w="3707" w:h="3815" w:wrap="around" w:vAnchor="text" w:hAnchor="margin" w:x="-568" w:y="-56"/>
        <w:tabs>
          <w:tab w:leader="none" w:pos="2040" w:val="right"/>
        </w:tabs>
        <w:widowControl w:val="0"/>
        <w:keepNext w:val="0"/>
        <w:keepLines w:val="0"/>
        <w:shd w:val="clear" w:color="auto" w:fill="auto"/>
        <w:bidi w:val="0"/>
        <w:jc w:val="both"/>
        <w:spacing w:before="0" w:after="0" w:line="190" w:lineRule="exact"/>
        <w:ind w:left="0" w:right="0" w:firstLine="0"/>
      </w:pPr>
      <w:r>
        <w:rPr>
          <w:rStyle w:val="CharStyle8"/>
          <w:spacing w:val="0"/>
        </w:rPr>
        <w:t>На №</w:t>
        <w:tab/>
        <w:t>от</w:t>
      </w:r>
    </w:p>
    <w:p>
      <w:pPr>
        <w:pStyle w:val="Style15"/>
        <w:widowControl w:val="0"/>
        <w:keepNext w:val="0"/>
        <w:keepLines w:val="0"/>
        <w:shd w:val="clear" w:color="auto" w:fill="auto"/>
        <w:bidi w:val="0"/>
        <w:spacing w:before="0" w:after="87"/>
        <w:ind w:left="780" w:right="0" w:firstLine="0"/>
      </w:pPr>
      <w:r>
        <w:rPr>
          <w:rStyle w:val="CharStyle17"/>
          <w:b/>
          <w:bCs/>
        </w:rPr>
        <w:t>МОНОПОЛИЯГА УДУР ФЕДЕРАЛДЫГ АЛБАН</w:t>
      </w:r>
    </w:p>
    <w:p>
      <w:pPr>
        <w:pStyle w:val="Style3"/>
        <w:widowControl w:val="0"/>
        <w:keepNext w:val="0"/>
        <w:keepLines w:val="0"/>
        <w:shd w:val="clear" w:color="auto" w:fill="auto"/>
        <w:bidi w:val="0"/>
        <w:spacing w:before="0" w:after="255"/>
        <w:ind w:left="20" w:right="0" w:firstLine="0"/>
      </w:pPr>
      <w:r>
        <w:rPr>
          <w:rStyle w:val="CharStyle19"/>
          <w:b/>
          <w:bCs/>
        </w:rPr>
        <w:t xml:space="preserve">Монополияга </w:t>
      </w:r>
      <w:r>
        <w:rPr>
          <w:rStyle w:val="CharStyle20"/>
          <w:b/>
          <w:bCs/>
        </w:rPr>
        <w:t xml:space="preserve">удур </w:t>
      </w:r>
      <w:r>
        <w:rPr>
          <w:rStyle w:val="CharStyle19"/>
          <w:b/>
          <w:bCs/>
        </w:rPr>
        <w:t>Федералдыг албаннын Тыва Республика талазы-биле эргелели</w:t>
      </w:r>
    </w:p>
    <w:p>
      <w:pPr>
        <w:pStyle w:val="Style6"/>
        <w:widowControl w:val="0"/>
        <w:keepNext w:val="0"/>
        <w:keepLines w:val="0"/>
        <w:shd w:val="clear" w:color="auto" w:fill="auto"/>
        <w:bidi w:val="0"/>
        <w:jc w:val="left"/>
        <w:spacing w:before="0" w:after="299"/>
        <w:ind w:left="3500" w:right="720"/>
      </w:pPr>
      <w:r>
        <w:rPr>
          <w:rStyle w:val="CharStyle22"/>
        </w:rPr>
        <w:t xml:space="preserve">Комсомольская кудумчузу, </w:t>
      </w:r>
      <w:r>
        <w:rPr>
          <w:rStyle w:val="CharStyle23"/>
        </w:rPr>
        <w:t xml:space="preserve">122 А, Кызыл </w:t>
      </w:r>
      <w:r>
        <w:rPr>
          <w:rStyle w:val="CharStyle22"/>
        </w:rPr>
        <w:t xml:space="preserve">хоорай, </w:t>
      </w:r>
      <w:r>
        <w:rPr>
          <w:rStyle w:val="CharStyle23"/>
        </w:rPr>
        <w:t xml:space="preserve">667007 </w:t>
      </w:r>
      <w:r>
        <w:rPr>
          <w:rStyle w:val="CharStyle22"/>
        </w:rPr>
        <w:t xml:space="preserve">тел/факс </w:t>
      </w:r>
      <w:r>
        <w:rPr>
          <w:rStyle w:val="CharStyle23"/>
        </w:rPr>
        <w:t xml:space="preserve">(39422) 6-67-88 </w:t>
      </w:r>
      <w:r>
        <w:rPr>
          <w:rStyle w:val="CharStyle22"/>
          <w:lang w:val="en-US" w:eastAsia="en-US" w:bidi="en-US"/>
        </w:rPr>
        <w:t xml:space="preserve">e-mail: </w:t>
      </w:r>
      <w:r>
        <w:fldChar w:fldCharType="begin"/>
      </w:r>
      <w:r>
        <w:rPr>
          <w:rStyle w:val="CharStyle23"/>
        </w:rPr>
        <w:instrText> HYPERLINK "mailto:tol7@fas.gov.ru" </w:instrText>
      </w:r>
      <w:r>
        <w:fldChar w:fldCharType="separate"/>
      </w:r>
      <w:r>
        <w:rPr>
          <w:rStyle w:val="Hyperlink"/>
          <w:lang w:val="en-US" w:eastAsia="en-US" w:bidi="en-US"/>
        </w:rPr>
        <w:t>tol7@fas.gov.ru</w:t>
      </w:r>
      <w:r>
        <w:fldChar w:fldCharType="end"/>
      </w:r>
    </w:p>
    <w:p>
      <w:pPr>
        <w:pStyle w:val="Style24"/>
        <w:widowControl w:val="0"/>
        <w:keepNext w:val="0"/>
        <w:keepLines w:val="0"/>
        <w:shd w:val="clear" w:color="auto" w:fill="auto"/>
        <w:bidi w:val="0"/>
        <w:jc w:val="left"/>
        <w:spacing w:before="0" w:after="256"/>
        <w:ind w:left="2180" w:right="340" w:firstLine="0"/>
      </w:pPr>
      <w:r>
        <w:rPr>
          <w:lang w:val="ru-RU" w:eastAsia="ru-RU" w:bidi="ru-RU"/>
          <w:w w:val="100"/>
          <w:spacing w:val="0"/>
          <w:color w:val="000000"/>
          <w:position w:val="0"/>
        </w:rPr>
        <w:t xml:space="preserve">Федеральное казенное учреждение здравоохранения «Тувинская противочумная станция» Федеральной службы по надзору в сфере защиты прав потребителей и благополучия человека </w:t>
      </w:r>
      <w:r>
        <w:rPr>
          <w:rStyle w:val="CharStyle26"/>
        </w:rPr>
        <w:t>(ФКУЗ «Тувинская противочумная станция» Роспотребнадзора)</w:t>
      </w:r>
    </w:p>
    <w:p>
      <w:pPr>
        <w:pStyle w:val="Style24"/>
        <w:widowControl w:val="0"/>
        <w:keepNext w:val="0"/>
        <w:keepLines w:val="0"/>
        <w:shd w:val="clear" w:color="auto" w:fill="auto"/>
        <w:bidi w:val="0"/>
        <w:jc w:val="center"/>
        <w:spacing w:before="0" w:after="270" w:line="298" w:lineRule="exact"/>
        <w:ind w:left="0" w:right="340" w:firstLine="0"/>
      </w:pPr>
      <w:r>
        <w:rPr>
          <w:lang w:val="ru-RU" w:eastAsia="ru-RU" w:bidi="ru-RU"/>
          <w:w w:val="100"/>
          <w:spacing w:val="0"/>
          <w:color w:val="000000"/>
          <w:position w:val="0"/>
        </w:rPr>
        <w:t xml:space="preserve">667010, Республика Тыва, г. Кызыл, ул. Московская, 13 </w:t>
      </w:r>
      <w:r>
        <w:rPr>
          <w:rStyle w:val="CharStyle26"/>
        </w:rPr>
        <w:t xml:space="preserve">Эл.почта: </w:t>
      </w:r>
      <w:r>
        <w:fldChar w:fldCharType="begin"/>
      </w:r>
      <w:r>
        <w:rPr>
          <w:rStyle w:val="CharStyle27"/>
        </w:rPr>
        <w:instrText> HYPERLINK "mailto:pchs@tuva.ru" </w:instrText>
      </w:r>
      <w:r>
        <w:fldChar w:fldCharType="separate"/>
      </w:r>
      <w:r>
        <w:rPr>
          <w:rStyle w:val="Hyperlink"/>
        </w:rPr>
        <w:t>pchs@tuva.ru</w:t>
      </w:r>
      <w:r>
        <w:fldChar w:fldCharType="end"/>
      </w:r>
    </w:p>
    <w:p>
      <w:pPr>
        <w:pStyle w:val="Style24"/>
        <w:widowControl w:val="0"/>
        <w:keepNext w:val="0"/>
        <w:keepLines w:val="0"/>
        <w:shd w:val="clear" w:color="auto" w:fill="auto"/>
        <w:bidi w:val="0"/>
        <w:jc w:val="center"/>
        <w:spacing w:before="0" w:after="264" w:line="260" w:lineRule="exact"/>
        <w:ind w:left="0" w:right="340" w:firstLine="0"/>
      </w:pPr>
      <w:r>
        <w:rPr>
          <w:lang w:val="ru-RU" w:eastAsia="ru-RU" w:bidi="ru-RU"/>
          <w:w w:val="100"/>
          <w:spacing w:val="0"/>
          <w:color w:val="000000"/>
          <w:position w:val="0"/>
        </w:rPr>
        <w:t>ООО «ИвановоМедТекстиль»</w:t>
      </w:r>
    </w:p>
    <w:p>
      <w:pPr>
        <w:pStyle w:val="Style24"/>
        <w:widowControl w:val="0"/>
        <w:keepNext w:val="0"/>
        <w:keepLines w:val="0"/>
        <w:shd w:val="clear" w:color="auto" w:fill="auto"/>
        <w:bidi w:val="0"/>
        <w:jc w:val="center"/>
        <w:spacing w:before="0" w:after="278" w:line="307" w:lineRule="exact"/>
        <w:ind w:left="0" w:right="340" w:firstLine="0"/>
      </w:pPr>
      <w:r>
        <w:rPr>
          <w:lang w:val="ru-RU" w:eastAsia="ru-RU" w:bidi="ru-RU"/>
          <w:w w:val="100"/>
          <w:spacing w:val="0"/>
          <w:color w:val="000000"/>
          <w:position w:val="0"/>
        </w:rPr>
        <w:t xml:space="preserve">153027, Ивановская область, г. Иваново, ул. Павла Болыневикова, д. 27, стр. 9, офис 108 </w:t>
      </w:r>
      <w:r>
        <w:rPr>
          <w:rStyle w:val="CharStyle26"/>
        </w:rPr>
        <w:t xml:space="preserve">Эл.почта: </w:t>
      </w:r>
      <w:r>
        <w:fldChar w:fldCharType="begin"/>
      </w:r>
      <w:r>
        <w:rPr>
          <w:rStyle w:val="CharStyle27"/>
        </w:rPr>
        <w:instrText> HYPERLINK "mailto:ivmedtex@mail.ru" </w:instrText>
      </w:r>
      <w:r>
        <w:fldChar w:fldCharType="separate"/>
      </w:r>
      <w:r>
        <w:rPr>
          <w:rStyle w:val="Hyperlink"/>
        </w:rPr>
        <w:t>ivmedtex@mail.ru</w:t>
      </w:r>
      <w:r>
        <w:fldChar w:fldCharType="end"/>
      </w:r>
    </w:p>
    <w:p>
      <w:pPr>
        <w:pStyle w:val="Style24"/>
        <w:widowControl w:val="0"/>
        <w:keepNext w:val="0"/>
        <w:keepLines w:val="0"/>
        <w:shd w:val="clear" w:color="auto" w:fill="auto"/>
        <w:bidi w:val="0"/>
        <w:jc w:val="center"/>
        <w:spacing w:before="0" w:after="253" w:line="260" w:lineRule="exact"/>
        <w:ind w:left="0" w:right="340" w:firstLine="0"/>
      </w:pPr>
      <w:r>
        <w:rPr>
          <w:lang w:val="ru-RU" w:eastAsia="ru-RU" w:bidi="ru-RU"/>
          <w:w w:val="100"/>
          <w:spacing w:val="0"/>
          <w:color w:val="000000"/>
          <w:position w:val="0"/>
        </w:rPr>
        <w:t>ООО «РТС-тендер»</w:t>
      </w:r>
    </w:p>
    <w:p>
      <w:pPr>
        <w:pStyle w:val="Style24"/>
        <w:widowControl w:val="0"/>
        <w:keepNext w:val="0"/>
        <w:keepLines w:val="0"/>
        <w:shd w:val="clear" w:color="auto" w:fill="auto"/>
        <w:bidi w:val="0"/>
        <w:jc w:val="center"/>
        <w:spacing w:before="0" w:after="0" w:line="322" w:lineRule="exact"/>
        <w:ind w:left="0" w:right="340" w:firstLine="0"/>
      </w:pPr>
      <w:r>
        <w:rPr>
          <w:lang w:val="ru-RU" w:eastAsia="ru-RU" w:bidi="ru-RU"/>
          <w:w w:val="100"/>
          <w:spacing w:val="0"/>
          <w:color w:val="000000"/>
          <w:position w:val="0"/>
        </w:rPr>
        <w:t>121151, г. Москва, набережная Тараса Шевченко, д. 23 А</w:t>
      </w:r>
    </w:p>
    <w:p>
      <w:pPr>
        <w:pStyle w:val="Style28"/>
        <w:widowControl w:val="0"/>
        <w:keepNext w:val="0"/>
        <w:keepLines w:val="0"/>
        <w:shd w:val="clear" w:color="auto" w:fill="auto"/>
        <w:bidi w:val="0"/>
        <w:spacing w:before="0" w:after="546" w:line="220" w:lineRule="exact"/>
        <w:ind w:left="0" w:right="340" w:firstLine="0"/>
      </w:pPr>
      <w:r>
        <w:rPr>
          <w:lang w:val="ru-RU" w:eastAsia="ru-RU" w:bidi="ru-RU"/>
          <w:w w:val="100"/>
          <w:spacing w:val="0"/>
          <w:color w:val="000000"/>
          <w:position w:val="0"/>
        </w:rPr>
        <w:t xml:space="preserve">электронная почта: </w:t>
      </w:r>
      <w:r>
        <w:fldChar w:fldCharType="begin"/>
      </w:r>
      <w:r>
        <w:rPr>
          <w:rStyle w:val="CharStyle30"/>
        </w:rPr>
        <w:instrText> HYPERLINK "mailto:ko@rts-tender.ni" </w:instrText>
      </w:r>
      <w:r>
        <w:fldChar w:fldCharType="separate"/>
      </w:r>
      <w:r>
        <w:rPr>
          <w:rStyle w:val="Hyperlink"/>
        </w:rPr>
        <w:t>ko@rts-tender.ru</w:t>
      </w:r>
      <w:r>
        <w:fldChar w:fldCharType="end"/>
      </w:r>
    </w:p>
    <w:p>
      <w:pPr>
        <w:pStyle w:val="Style31"/>
        <w:widowControl w:val="0"/>
        <w:keepNext/>
        <w:keepLines/>
        <w:shd w:val="clear" w:color="auto" w:fill="auto"/>
        <w:bidi w:val="0"/>
        <w:spacing w:before="0" w:after="289"/>
        <w:ind w:left="760" w:right="0" w:firstLine="0"/>
      </w:pPr>
      <w:bookmarkStart w:id="0" w:name="bookmark0"/>
      <w:r>
        <w:rPr>
          <w:lang w:val="ru-RU" w:eastAsia="ru-RU" w:bidi="ru-RU"/>
          <w:w w:val="100"/>
          <w:spacing w:val="0"/>
          <w:color w:val="000000"/>
          <w:position w:val="0"/>
        </w:rPr>
        <w:t>РЕШЕНИЕ по жалобе № 017/06/105-272/2021 о нарушении законодательства о контрактной системе</w:t>
      </w:r>
      <w:bookmarkEnd w:id="0"/>
    </w:p>
    <w:p>
      <w:pPr>
        <w:pStyle w:val="Style33"/>
        <w:widowControl w:val="0"/>
        <w:keepNext w:val="0"/>
        <w:keepLines w:val="0"/>
        <w:shd w:val="clear" w:color="auto" w:fill="auto"/>
        <w:bidi w:val="0"/>
        <w:jc w:val="left"/>
        <w:spacing w:before="0" w:after="2" w:line="260" w:lineRule="exact"/>
        <w:ind w:left="20" w:right="0" w:firstLine="0"/>
      </w:pPr>
      <w:r>
        <w:rPr>
          <w:lang w:val="ru-RU" w:eastAsia="ru-RU" w:bidi="ru-RU"/>
          <w:w w:val="100"/>
          <w:spacing w:val="0"/>
          <w:color w:val="000000"/>
          <w:position w:val="0"/>
        </w:rPr>
        <w:t>Резолютивная часть решения объявлена 25.10.2021 года.</w:t>
      </w:r>
    </w:p>
    <w:p>
      <w:pPr>
        <w:pStyle w:val="Style33"/>
        <w:widowControl w:val="0"/>
        <w:keepNext w:val="0"/>
        <w:keepLines w:val="0"/>
        <w:shd w:val="clear" w:color="auto" w:fill="auto"/>
        <w:bidi w:val="0"/>
        <w:jc w:val="left"/>
        <w:spacing w:before="0" w:after="1789" w:line="260" w:lineRule="exact"/>
        <w:ind w:left="20" w:right="0" w:firstLine="0"/>
      </w:pPr>
      <w:r>
        <w:rPr>
          <w:lang w:val="ru-RU" w:eastAsia="ru-RU" w:bidi="ru-RU"/>
          <w:w w:val="100"/>
          <w:spacing w:val="0"/>
          <w:color w:val="000000"/>
          <w:position w:val="0"/>
        </w:rPr>
        <w:t>Решение в полном объеме изготовлено 28.10.2021 года.</w:t>
      </w:r>
    </w:p>
    <w:p>
      <w:pPr>
        <w:pStyle w:val="Style35"/>
        <w:widowControl w:val="0"/>
        <w:keepNext/>
        <w:keepLines/>
        <w:shd w:val="clear" w:color="auto" w:fill="auto"/>
        <w:bidi w:val="0"/>
        <w:jc w:val="left"/>
        <w:spacing w:before="0" w:after="0" w:line="360" w:lineRule="exact"/>
        <w:ind w:left="7440" w:right="0" w:firstLine="0"/>
      </w:pPr>
      <w:bookmarkStart w:id="1" w:name="bookmark1"/>
      <w:r>
        <w:rPr>
          <w:lang w:val="ru-RU" w:eastAsia="ru-RU" w:bidi="ru-RU"/>
          <w:w w:val="100"/>
          <w:color w:val="000000"/>
          <w:position w:val="0"/>
        </w:rPr>
        <w:t>003832</w:t>
      </w:r>
      <w:bookmarkEnd w:id="1"/>
      <w:r>
        <w:br w:type="page"/>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Республике Тыва (далее - Тывинское УФАС России) по контролю в сфере закупок в составе:</w:t>
      </w:r>
    </w:p>
    <w:p>
      <w:pPr>
        <w:pStyle w:val="Style24"/>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Председательствующий Комиссии: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Ооржак А.О. - заместитель руководителя управления - начальник отдела контроля закупок и антимонопольного контроля органов власти,</w:t>
      </w:r>
    </w:p>
    <w:p>
      <w:pPr>
        <w:pStyle w:val="Style24"/>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Члены Комиссии: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Оюн С.С. - ведущий специалист-эксперт отдела контроля закупок и антимонопольного контроля органов власти;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Донгак Ш.Ш. - специалист 1 разряда отдела контроля закупок и антимонопольного контроля органов власти,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при участии в рассмотрении жалобы путем использования видеоконференцсвязи </w:t>
      </w:r>
      <w:r>
        <w:rPr>
          <w:lang w:val="en-US" w:eastAsia="en-US" w:bidi="en-US"/>
          <w:w w:val="100"/>
          <w:spacing w:val="0"/>
          <w:color w:val="000000"/>
          <w:position w:val="0"/>
        </w:rPr>
        <w:t>«TrueConf»:</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от заказчика - Федерального казенного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(далее ФКУЗ «Тувинская противочумная станция» Роспотребнадзора):</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Свидрицкая О.С., контрактный управляющий, действующая на основании приказа от 05.06.2018 года№ 44-н,</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отсутствии надлежащим образом извещенного о времени и месте рассмотрения жалобы законного представителя подателя жалобы - Общества с ограниченной ответственностью «ИвановоМедТекстиль» (ООО «ИвановоМедТекстиль»),</w:t>
      </w:r>
    </w:p>
    <w:p>
      <w:pPr>
        <w:pStyle w:val="Style24"/>
        <w:tabs>
          <w:tab w:leader="none" w:pos="5452" w:val="right"/>
          <w:tab w:leader="none" w:pos="5970" w:val="center"/>
          <w:tab w:leader="none" w:pos="7074" w:val="center"/>
          <w:tab w:leader="none" w:pos="8068" w:val="left"/>
        </w:tabs>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рассмотрев жалобу (вх. №</w:t>
        <w:tab/>
        <w:t>4883</w:t>
        <w:tab/>
        <w:t>от</w:t>
        <w:tab/>
        <w:t>19.10.2021</w:t>
        <w:tab/>
        <w:t>года) ООО</w:t>
      </w:r>
    </w:p>
    <w:p>
      <w:pPr>
        <w:pStyle w:val="Style24"/>
        <w:widowControl w:val="0"/>
        <w:keepNext w:val="0"/>
        <w:keepLines w:val="0"/>
        <w:shd w:val="clear" w:color="auto" w:fill="auto"/>
        <w:bidi w:val="0"/>
        <w:jc w:val="both"/>
        <w:spacing w:before="0" w:after="289" w:line="322" w:lineRule="exact"/>
        <w:ind w:left="20" w:right="20" w:firstLine="0"/>
      </w:pPr>
      <w:r>
        <w:rPr>
          <w:lang w:val="ru-RU" w:eastAsia="ru-RU" w:bidi="ru-RU"/>
          <w:w w:val="100"/>
          <w:spacing w:val="0"/>
          <w:color w:val="000000"/>
          <w:position w:val="0"/>
        </w:rPr>
        <w:t>«ИвановоМедТекстиль» (153027, Ивановская область, г. Иваново, ул. Павла Болыневикова, д. 27, стр. 9, офис 108, ОГРН: 1213700002890, Дата присвоения ОГРН: 26.02.2021, ИНН: 3702255862, КПП: 370201001) на действия аукционной комиссии при проведении электронного аукциона № 0312100005421000088 «Перчатки смотровые/процедурные латексные для ПЦР исследований (СИЗ)», начальная (максимальная) цена контракта: 520 560,00 рублей, и в результате осуществления внеплановой документарной проверки на основании статьи 99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утвержденного приказом ФАС России от 19.11.2014 года № 727/14,</w:t>
      </w:r>
    </w:p>
    <w:p>
      <w:pPr>
        <w:pStyle w:val="Style37"/>
        <w:widowControl w:val="0"/>
        <w:keepNext/>
        <w:keepLines/>
        <w:shd w:val="clear" w:color="auto" w:fill="auto"/>
        <w:bidi w:val="0"/>
        <w:jc w:val="left"/>
        <w:spacing w:before="0" w:after="252" w:line="260" w:lineRule="exact"/>
        <w:ind w:left="4020" w:right="0" w:firstLine="0"/>
      </w:pPr>
      <w:bookmarkStart w:id="2" w:name="bookmark2"/>
      <w:r>
        <w:rPr>
          <w:lang w:val="ru-RU" w:eastAsia="ru-RU" w:bidi="ru-RU"/>
          <w:w w:val="100"/>
          <w:spacing w:val="0"/>
          <w:color w:val="000000"/>
          <w:position w:val="0"/>
        </w:rPr>
        <w:t>УСТАНОВИЛА:</w:t>
      </w:r>
      <w:bookmarkEnd w:id="2"/>
    </w:p>
    <w:p>
      <w:pPr>
        <w:pStyle w:val="Style2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Жалоба подготовлена в соответствии с требованиями и в сроки, установленные статьей 105 Закона о контрактной системе. В связи с чем, жалоба была принята Тывинским УФАС России к рассмотрению.</w:t>
      </w:r>
    </w:p>
    <w:p>
      <w:pPr>
        <w:pStyle w:val="Style2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Тывинским УФАС России в адрес государственного заказчика, оператора электронной торговой площадки и подателя жалобы были направлены уведомления о содержании жалобы, сообщение о месте и времени ее рассмотрения, а также указанные уведомления и ссылка на видеоконференцсвязь </w:t>
      </w:r>
      <w:r>
        <w:rPr>
          <w:lang w:val="en-US" w:eastAsia="en-US" w:bidi="en-US"/>
          <w:w w:val="100"/>
          <w:spacing w:val="0"/>
          <w:color w:val="000000"/>
          <w:position w:val="0"/>
        </w:rPr>
        <w:t xml:space="preserve">«TrueConf» </w:t>
      </w:r>
      <w:r>
        <w:rPr>
          <w:lang w:val="ru-RU" w:eastAsia="ru-RU" w:bidi="ru-RU"/>
          <w:w w:val="100"/>
          <w:spacing w:val="0"/>
          <w:color w:val="000000"/>
          <w:position w:val="0"/>
        </w:rPr>
        <w:t xml:space="preserve">с инструкцией по подключению размещены в Единой информационной системе в сфере закупок </w:t>
      </w:r>
      <w:r>
        <w:fldChar w:fldCharType="begin"/>
      </w:r>
      <w:r>
        <w:rPr>
          <w:rStyle w:val="CharStyle39"/>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письменным доводам подателя жалобы аукционная комиссия неправомерно отказала в допуске к участию в электронном аукционе заявке подателя жалобы, по основаниям, указанным в протоколе рассмотрения заявок на участие в электронном аукционе № 0312100005421000088 от 15.10.2021 года, так как отклонить заявку участника закупки на основании пункта 2 Постановления Правительства РФ от 30.01.2020 года № 617 вправе только при рассмотрении вторых частей заявок на основании пункта 3 части 6 статьи 69 Закона о контрактной системе.</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Представитель государственного заказчика не согласилась с доводами жалобы и пояснила, что в Постановлении Правительства РФ от 30.01.2020 года № 617 нет однозначного указания о необходимости отклонения заявок участников закупки на вторых частях заявок, в связи с чем, аукционной комиссией государственного заказчика было принято решение применить ограничения допуска согласно Постановлению Правительства РФ от 30.04.2020 </w:t>
      </w:r>
      <w:r>
        <w:rPr>
          <w:lang w:val="en-US" w:eastAsia="en-US" w:bidi="en-US"/>
          <w:w w:val="100"/>
          <w:spacing w:val="0"/>
          <w:color w:val="000000"/>
          <w:position w:val="0"/>
        </w:rPr>
        <w:t>N617.</w:t>
      </w:r>
    </w:p>
    <w:p>
      <w:pPr>
        <w:pStyle w:val="Style24"/>
        <w:tabs>
          <w:tab w:leader="none" w:pos="6366" w:val="center"/>
          <w:tab w:leader="none" w:pos="9644" w:val="righ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Рассмотрев жалобу, выслушав доводы лица, участвующего в рассмотрении жалобы и проведя внеплановую документарную проверку документации электронного аукциона №</w:t>
        <w:tab/>
        <w:t>0312100005421000088</w:t>
        <w:tab/>
        <w:t>«Перчатки</w:t>
      </w:r>
    </w:p>
    <w:p>
      <w:pPr>
        <w:pStyle w:val="Style24"/>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смотровые/процедурные латексные для ПЦР исследований (СИЗ)», Комиссия Тывинского УФАС России приходит к следующему.</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06.10.2021 года государственным заказчиком - ФКУЗ «Тувинская противочумная станция» Роспотребнадзора в ЕИС размещено извещение о проведении электронного аукциона № № 0312100005421000088 «Перчатки смотровые/процедурные латексные для ПЦР исследований (СИЗ)», начальная (максимальная) цена контракта: 520 560,00 рублей.</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Документация электронного аукциона № 0312100005421000088 «Перчатки смотровые/процедурные латексные для ПЦР исследований (СИЗ)», утверждена приказом ФКУЗ «Тувинская противочумная станция» Роспотребнадзора от 27.09.2021 года № 71 -н/1, в лице директора Глушкова Э.А.</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протоколу рассмотрения заявок на участие в электронном аукционе № 0312100005421000088 от 28.07.2021 года на момент окончания срока подачи заявок на участие в электронном аукционе поступило 13 заявок, заявки участников закупки под № 10685047, 10685779, 110686639 допущены к участие в аукционе.</w:t>
      </w:r>
    </w:p>
    <w:p>
      <w:pPr>
        <w:pStyle w:val="Style24"/>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 xml:space="preserve">Заявкам участников закупки под № 110659362, 110670316, 110679482, 110681149, 110682346, 10682427, 10684361, 110686848, 110687528 отказано в допуске к участию в электронном аукционе № 0312100005421000088 по следующим основаниям: </w:t>
      </w:r>
      <w:r>
        <w:rPr>
          <w:rStyle w:val="CharStyle40"/>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а именно: в соответствии с п. 2 Постановления Правительства РФ от 30 апреля 2020 г. </w:t>
      </w:r>
      <w:r>
        <w:rPr>
          <w:rStyle w:val="CharStyle41"/>
          <w:lang w:val="en-US" w:eastAsia="en-US" w:bidi="en-US"/>
        </w:rPr>
        <w:t xml:space="preserve">N </w:t>
      </w:r>
      <w:r>
        <w:rPr>
          <w:rStyle w:val="CharStyle41"/>
        </w:rPr>
        <w:t>617, так как участник предложил товар, происходящий из иностранных государств, при наличии 2-х заявок удовлетворяющих требованиям данного постановления</w:t>
      </w:r>
      <w:r>
        <w:rPr>
          <w:rStyle w:val="CharStyle42"/>
        </w:rPr>
        <w:t>».</w:t>
      </w:r>
    </w:p>
    <w:p>
      <w:pPr>
        <w:pStyle w:val="Style24"/>
        <w:widowControl w:val="0"/>
        <w:keepNext w:val="0"/>
        <w:keepLines w:val="0"/>
        <w:shd w:val="clear" w:color="auto" w:fill="auto"/>
        <w:bidi w:val="0"/>
        <w:jc w:val="both"/>
        <w:spacing w:before="0" w:after="234" w:line="331" w:lineRule="exact"/>
        <w:ind w:left="20" w:right="20" w:firstLine="580"/>
      </w:pPr>
      <w:r>
        <w:rPr>
          <w:lang w:val="ru-RU" w:eastAsia="ru-RU" w:bidi="ru-RU"/>
          <w:w w:val="100"/>
          <w:spacing w:val="0"/>
          <w:color w:val="000000"/>
          <w:position w:val="0"/>
        </w:rPr>
        <w:t>В соответствии с протоколом проведения электронного аукциона № 0312100005421000088 от 18.10.2021 года поданы следующие ценовые предложения:</w:t>
      </w:r>
    </w:p>
    <w:tbl>
      <w:tblPr>
        <w:tblOverlap w:val="never"/>
        <w:tblLayout w:type="fixed"/>
        <w:jc w:val="center"/>
      </w:tblPr>
      <w:tblGrid>
        <w:gridCol w:w="4766"/>
        <w:gridCol w:w="4771"/>
      </w:tblGrid>
      <w:tr>
        <w:trPr>
          <w:trHeight w:val="466" w:hRule="exact"/>
        </w:trPr>
        <w:tc>
          <w:tcPr>
            <w:shd w:val="clear" w:color="auto" w:fill="FFFFFF"/>
            <w:tcBorders>
              <w:lef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Идентификационный номер заявки</w:t>
            </w:r>
          </w:p>
        </w:tc>
        <w:tc>
          <w:tcPr>
            <w:shd w:val="clear" w:color="auto" w:fill="FFFFFF"/>
            <w:tcBorders>
              <w:left w:val="single" w:sz="4"/>
              <w:righ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43"/>
              </w:rPr>
              <w:t>Предложенная цена</w:t>
            </w:r>
          </w:p>
        </w:tc>
      </w:tr>
      <w:tr>
        <w:trPr>
          <w:trHeight w:val="374" w:hRule="exact"/>
        </w:trPr>
        <w:tc>
          <w:tcPr>
            <w:shd w:val="clear" w:color="auto" w:fill="FFFFFF"/>
            <w:tcBorders>
              <w:lef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110685779</w:t>
            </w:r>
          </w:p>
        </w:tc>
        <w:tc>
          <w:tcPr>
            <w:shd w:val="clear" w:color="auto" w:fill="FFFFFF"/>
            <w:tcBorders>
              <w:left w:val="single" w:sz="4"/>
              <w:righ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447 284,40 руб.</w:t>
            </w:r>
          </w:p>
        </w:tc>
      </w:tr>
      <w:tr>
        <w:trPr>
          <w:trHeight w:val="379" w:hRule="exact"/>
        </w:trPr>
        <w:tc>
          <w:tcPr>
            <w:shd w:val="clear" w:color="auto" w:fill="FFFFFF"/>
            <w:tcBorders>
              <w:lef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110686639</w:t>
            </w:r>
          </w:p>
        </w:tc>
        <w:tc>
          <w:tcPr>
            <w:shd w:val="clear" w:color="auto" w:fill="FFFFFF"/>
            <w:tcBorders>
              <w:left w:val="single" w:sz="4"/>
              <w:right w:val="single" w:sz="4"/>
              <w:top w:val="single" w:sz="4"/>
            </w:tcBorders>
            <w:vAlign w:val="bottom"/>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447 284,40 руб.</w:t>
            </w:r>
          </w:p>
        </w:tc>
      </w:tr>
      <w:tr>
        <w:trPr>
          <w:trHeight w:val="398" w:hRule="exact"/>
        </w:trPr>
        <w:tc>
          <w:tcPr>
            <w:shd w:val="clear" w:color="auto" w:fill="FFFFFF"/>
            <w:tcBorders>
              <w:left w:val="single" w:sz="4"/>
              <w:top w:val="single" w:sz="4"/>
              <w:bottom w:val="single" w:sz="4"/>
            </w:tcBorders>
            <w:vAlign w:val="center"/>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110685047</w:t>
            </w:r>
          </w:p>
        </w:tc>
        <w:tc>
          <w:tcPr>
            <w:shd w:val="clear" w:color="auto" w:fill="FFFFFF"/>
            <w:tcBorders>
              <w:left w:val="single" w:sz="4"/>
              <w:right w:val="single" w:sz="4"/>
              <w:top w:val="single" w:sz="4"/>
              <w:bottom w:val="single" w:sz="4"/>
            </w:tcBorders>
            <w:vAlign w:val="center"/>
          </w:tcPr>
          <w:p>
            <w:pPr>
              <w:pStyle w:val="Style24"/>
              <w:framePr w:w="953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512 354,40 руб.</w:t>
            </w:r>
          </w:p>
        </w:tc>
      </w:tr>
    </w:tbl>
    <w:p>
      <w:pPr>
        <w:widowControl w:val="0"/>
        <w:rPr>
          <w:sz w:val="2"/>
          <w:szCs w:val="2"/>
        </w:rPr>
      </w:pPr>
    </w:p>
    <w:p>
      <w:pPr>
        <w:pStyle w:val="Style24"/>
        <w:widowControl w:val="0"/>
        <w:keepNext w:val="0"/>
        <w:keepLines w:val="0"/>
        <w:shd w:val="clear" w:color="auto" w:fill="auto"/>
        <w:bidi w:val="0"/>
        <w:jc w:val="both"/>
        <w:spacing w:before="239" w:after="0"/>
        <w:ind w:left="20" w:right="20" w:firstLine="580"/>
      </w:pPr>
      <w:r>
        <w:rPr>
          <w:lang w:val="ru-RU" w:eastAsia="ru-RU" w:bidi="ru-RU"/>
          <w:w w:val="100"/>
          <w:spacing w:val="0"/>
          <w:color w:val="000000"/>
          <w:position w:val="0"/>
        </w:rPr>
        <w:t>Согласно протоколу подведения итогов электронного аукциона № 0312100005421000088 от 21.10.2021 года заявка участника закупки под № 110685047 (ИП Камышанский В.М.) признана соответствующей требованиям аукционной документации.</w:t>
      </w:r>
    </w:p>
    <w:p>
      <w:pPr>
        <w:pStyle w:val="Style33"/>
        <w:widowControl w:val="0"/>
        <w:keepNext w:val="0"/>
        <w:keepLines w:val="0"/>
        <w:shd w:val="clear" w:color="auto" w:fill="auto"/>
        <w:bidi w:val="0"/>
        <w:jc w:val="both"/>
        <w:spacing w:before="0" w:after="0" w:line="317" w:lineRule="exact"/>
        <w:ind w:left="20" w:right="20" w:firstLine="580"/>
      </w:pPr>
      <w:r>
        <w:rPr>
          <w:rStyle w:val="CharStyle45"/>
          <w:i w:val="0"/>
          <w:iCs w:val="0"/>
        </w:rPr>
        <w:t>Заявки участников закупки под № 110685779 (ООО «Азария»), 110686639 (ИП Захаров Е.Н.) признаны аукционной комиссией несоответствующей требованиям аукционной документации, а именно: «</w:t>
      </w:r>
      <w:r>
        <w:rPr>
          <w:lang w:val="ru-RU" w:eastAsia="ru-RU" w:bidi="ru-RU"/>
          <w:w w:val="100"/>
          <w:spacing w:val="0"/>
          <w:color w:val="000000"/>
          <w:position w:val="0"/>
        </w:rPr>
        <w:t xml:space="preserve">Несоответствие по статье 14 № 44 - ФЗ. а именно: для реализации постановления Постановление Правительства РФ от 30.04.2020 </w:t>
      </w:r>
      <w:r>
        <w:rPr>
          <w:lang w:val="en-US" w:eastAsia="en-US" w:bidi="en-US"/>
          <w:w w:val="100"/>
          <w:spacing w:val="0"/>
          <w:color w:val="000000"/>
          <w:position w:val="0"/>
        </w:rPr>
        <w:t xml:space="preserve">N </w:t>
      </w:r>
      <w:r>
        <w:rPr>
          <w:lang w:val="ru-RU" w:eastAsia="ru-RU" w:bidi="ru-RU"/>
          <w:w w:val="100"/>
          <w:spacing w:val="0"/>
          <w:color w:val="000000"/>
          <w:position w:val="0"/>
        </w:rPr>
        <w:t>617 подтверждением производства продукции на территории РФ является наличие сведений о продукции в реестре промышленной продукции, произведенной на территории РФ, тем не менее, предлагаемая в заявке продукция в данном реестре отсутствует</w:t>
      </w:r>
      <w:r>
        <w:rPr>
          <w:rStyle w:val="CharStyle45"/>
          <w:i w:val="0"/>
          <w:iCs w:val="0"/>
        </w:rPr>
        <w:t>».</w:t>
      </w:r>
    </w:p>
    <w:p>
      <w:pPr>
        <w:pStyle w:val="Style24"/>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В соответствии с указанной нормой Закона о контрактной системе принято постановление Правительства Российской Федерации от 30.04.2020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от 30.04.2020 </w:t>
      </w:r>
      <w:r>
        <w:rPr>
          <w:lang w:val="en-US" w:eastAsia="en-US" w:bidi="en-US"/>
          <w:w w:val="100"/>
          <w:spacing w:val="0"/>
          <w:color w:val="000000"/>
          <w:position w:val="0"/>
        </w:rPr>
        <w:t>N617).</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Пунктом 2 Постановления от 30.04.2020 </w:t>
      </w:r>
      <w:r>
        <w:rPr>
          <w:lang w:val="en-US" w:eastAsia="en-US" w:bidi="en-US"/>
          <w:w w:val="100"/>
          <w:spacing w:val="0"/>
          <w:color w:val="000000"/>
          <w:position w:val="0"/>
        </w:rPr>
        <w:t xml:space="preserve">N </w:t>
      </w:r>
      <w:r>
        <w:rPr>
          <w:lang w:val="ru-RU" w:eastAsia="ru-RU" w:bidi="ru-RU"/>
          <w:w w:val="100"/>
          <w:spacing w:val="0"/>
          <w:color w:val="000000"/>
          <w:position w:val="0"/>
        </w:rPr>
        <w:t>617 установлено, что для целей осуществления закупок отдельных видов промышленных товаров, включенных в перечень, заказчик отклоняет все заявки (окончательные предложения),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и (или) документации о закупке, которые одновременно:</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 (окончательных предложений).</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Согласно пункту 7 постановления Правительства РФ от 30.04.2020 </w:t>
      </w:r>
      <w:r>
        <w:rPr>
          <w:lang w:val="en-US" w:eastAsia="en-US" w:bidi="en-US"/>
          <w:w w:val="100"/>
          <w:spacing w:val="0"/>
          <w:color w:val="000000"/>
          <w:position w:val="0"/>
        </w:rPr>
        <w:t xml:space="preserve">N </w:t>
      </w:r>
      <w:r>
        <w:rPr>
          <w:lang w:val="ru-RU" w:eastAsia="ru-RU" w:bidi="ru-RU"/>
          <w:w w:val="100"/>
          <w:spacing w:val="0"/>
          <w:color w:val="000000"/>
          <w:position w:val="0"/>
        </w:rPr>
        <w:t>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24"/>
        <w:tabs>
          <w:tab w:leader="none" w:pos="914"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а)</w:t>
        <w:tab/>
        <w:t xml:space="preserve">наличие сведений об отдельных видах промышленных товаров в реестре промышленной продукции, произведенной на территории Российской 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24"/>
        <w:tabs>
          <w:tab w:leader="none" w:pos="928"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б)</w:t>
        <w:tab/>
        <w:t>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В силу пункта 3 постановления Правительства РФ от 30.04.2020 </w:t>
      </w:r>
      <w:r>
        <w:rPr>
          <w:lang w:val="en-US" w:eastAsia="en-US" w:bidi="en-US"/>
          <w:w w:val="100"/>
          <w:spacing w:val="0"/>
          <w:color w:val="000000"/>
          <w:position w:val="0"/>
        </w:rPr>
        <w:t xml:space="preserve">N </w:t>
      </w:r>
      <w:r>
        <w:rPr>
          <w:lang w:val="ru-RU" w:eastAsia="ru-RU" w:bidi="ru-RU"/>
          <w:w w:val="100"/>
          <w:spacing w:val="0"/>
          <w:color w:val="000000"/>
          <w:position w:val="0"/>
        </w:rPr>
        <w:t>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В соответствии с пунктом 9 указанного выше постановления при осуществлении закупок отдельных видов промышленных товаров для государственных и муниципальных нужд подтверждением соблюдения ограничений, установленных настоящим постановлением, является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 Информация о реестровой записи об отдельном виде промышленного товара включается в контракт.</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Пунктом 10 статьи 42 Закона о контрактной системе предусмотрено, что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в частности,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В соответствии с частью 5 статьи 63 Закона о контрактной системе извещение о проведении электронного аукциона должно содержать информацию, предусмотренную статьей 42 настоящего Федерального закона.</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 xml:space="preserve">Извещением о проведении электронного аукциона № 0312100005421000088 и пунктом 17 Информационной карты аукционной документации установлены ограничения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от 30.04.2020 </w:t>
      </w:r>
      <w:r>
        <w:rPr>
          <w:lang w:val="en-US" w:eastAsia="en-US" w:bidi="en-US"/>
          <w:w w:val="100"/>
          <w:spacing w:val="0"/>
          <w:color w:val="000000"/>
          <w:position w:val="0"/>
        </w:rPr>
        <w:t>N617.</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Согласно указанному извещению о проведении электронного аукциона № 0312100005421000088 установлен код ОКПД 2 - 22.19.60.119 «Перчатки смотровые/процедурные для проведения ПЦР исследований».</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 xml:space="preserve">В Перечне Постановления </w:t>
      </w:r>
      <w:r>
        <w:rPr>
          <w:lang w:val="en-US" w:eastAsia="en-US" w:bidi="en-US"/>
          <w:w w:val="100"/>
          <w:spacing w:val="0"/>
          <w:color w:val="000000"/>
          <w:position w:val="0"/>
        </w:rPr>
        <w:t xml:space="preserve">N </w:t>
      </w:r>
      <w:r>
        <w:rPr>
          <w:lang w:val="ru-RU" w:eastAsia="ru-RU" w:bidi="ru-RU"/>
          <w:w w:val="100"/>
          <w:spacing w:val="0"/>
          <w:color w:val="000000"/>
          <w:position w:val="0"/>
        </w:rPr>
        <w:t>617 по позиции № 68 указан код ОКПД2 - 22.19.6 «Предметы одежды и ее аксессуары из вулканизированной резины, кроме твердой резины (эбонита)», который является подгруппой по отношению к коду 22.19.60.119.</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Согласно пункту 6 части 5 статьи 66 Закона о контрактной системе вторая часть заявки на участие в электронном аукционе должна содержать, в том числе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4"/>
        <w:widowControl w:val="0"/>
        <w:keepNext w:val="0"/>
        <w:keepLines w:val="0"/>
        <w:shd w:val="clear" w:color="auto" w:fill="auto"/>
        <w:bidi w:val="0"/>
        <w:jc w:val="both"/>
        <w:spacing w:before="0" w:after="0" w:line="322" w:lineRule="exact"/>
        <w:ind w:left="20" w:right="80" w:firstLine="560"/>
      </w:pPr>
      <w:r>
        <w:rPr>
          <w:lang w:val="ru-RU" w:eastAsia="ru-RU" w:bidi="ru-RU"/>
          <w:w w:val="100"/>
          <w:spacing w:val="0"/>
          <w:color w:val="000000"/>
          <w:position w:val="0"/>
        </w:rPr>
        <w:t>Аналогичные требования к составу вторых частей установлены в подпункте 6 пункта 3.3 документации электронного аукциона № 0312100005421000088.</w:t>
      </w:r>
    </w:p>
    <w:p>
      <w:pPr>
        <w:pStyle w:val="Style24"/>
        <w:widowControl w:val="0"/>
        <w:keepNext w:val="0"/>
        <w:keepLines w:val="0"/>
        <w:shd w:val="clear" w:color="auto" w:fill="auto"/>
        <w:bidi w:val="0"/>
        <w:jc w:val="both"/>
        <w:spacing w:before="0" w:after="236" w:line="322" w:lineRule="exact"/>
        <w:ind w:left="20" w:right="80" w:firstLine="560"/>
      </w:pPr>
      <w:r>
        <w:rPr>
          <w:lang w:val="ru-RU" w:eastAsia="ru-RU" w:bidi="ru-RU"/>
          <w:w w:val="100"/>
          <w:spacing w:val="0"/>
          <w:color w:val="000000"/>
          <w:position w:val="0"/>
        </w:rPr>
        <w:t>Пунктом 17.1 Информационной карты аукционной документации предусмотрено:</w:t>
      </w:r>
    </w:p>
    <w:tbl>
      <w:tblPr>
        <w:tblOverlap w:val="never"/>
        <w:tblLayout w:type="fixed"/>
        <w:jc w:val="center"/>
      </w:tblPr>
      <w:tblGrid>
        <w:gridCol w:w="898"/>
        <w:gridCol w:w="2573"/>
        <w:gridCol w:w="6139"/>
      </w:tblGrid>
      <w:tr>
        <w:trPr>
          <w:trHeight w:val="451" w:hRule="exact"/>
        </w:trPr>
        <w:tc>
          <w:tcPr>
            <w:shd w:val="clear" w:color="auto" w:fill="FFFFFF"/>
            <w:tcBorders>
              <w:left w:val="single" w:sz="4"/>
              <w:top w:val="single" w:sz="4"/>
            </w:tcBorders>
            <w:vAlign w:val="bottom"/>
          </w:tcPr>
          <w:p>
            <w:pPr>
              <w:pStyle w:val="Style24"/>
              <w:framePr w:w="9610"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46"/>
              </w:rPr>
              <w:t>17.1</w:t>
            </w:r>
          </w:p>
        </w:tc>
        <w:tc>
          <w:tcPr>
            <w:shd w:val="clear" w:color="auto" w:fill="FFFFFF"/>
            <w:tcBorders>
              <w:left w:val="single" w:sz="4"/>
              <w:top w:val="single" w:sz="4"/>
            </w:tcBorders>
            <w:vAlign w:val="bottom"/>
          </w:tcPr>
          <w:p>
            <w:pPr>
              <w:pStyle w:val="Style24"/>
              <w:framePr w:w="9610"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47"/>
              </w:rPr>
              <w:t>Документы</w:t>
            </w:r>
          </w:p>
        </w:tc>
        <w:tc>
          <w:tcPr>
            <w:shd w:val="clear" w:color="auto" w:fill="FFFFFF"/>
            <w:tcBorders>
              <w:left w:val="single" w:sz="4"/>
              <w:right w:val="single" w:sz="4"/>
              <w:top w:val="single" w:sz="4"/>
            </w:tcBorders>
            <w:vAlign w:val="bottom"/>
          </w:tcPr>
          <w:p>
            <w:pPr>
              <w:pStyle w:val="Style24"/>
              <w:framePr w:w="9610" w:wrap="notBeside" w:vAnchor="text" w:hAnchor="text" w:xAlign="center" w:y="1"/>
              <w:widowControl w:val="0"/>
              <w:keepNext w:val="0"/>
              <w:keepLines w:val="0"/>
              <w:shd w:val="clear" w:color="auto" w:fill="auto"/>
              <w:bidi w:val="0"/>
              <w:jc w:val="both"/>
              <w:spacing w:before="0" w:after="0" w:line="220" w:lineRule="exact"/>
              <w:ind w:left="0" w:right="0" w:firstLine="460"/>
            </w:pPr>
            <w:r>
              <w:rPr>
                <w:rStyle w:val="CharStyle46"/>
              </w:rPr>
              <w:t>1. Подтверждением страны происхождения товара</w:t>
            </w:r>
          </w:p>
        </w:tc>
      </w:tr>
      <w:tr>
        <w:trPr>
          <w:trHeight w:val="274" w:hRule="exact"/>
        </w:trPr>
        <w:tc>
          <w:tcPr>
            <w:shd w:val="clear" w:color="auto" w:fill="FFFFFF"/>
            <w:tcBorders>
              <w:left w:val="single" w:sz="4"/>
            </w:tcBorders>
            <w:vAlign w:val="top"/>
          </w:tcPr>
          <w:p>
            <w:pPr>
              <w:framePr w:w="9610" w:wrap="notBeside" w:vAnchor="text" w:hAnchor="text" w:xAlign="center" w:y="1"/>
              <w:widowControl w:val="0"/>
              <w:rPr>
                <w:sz w:val="10"/>
                <w:szCs w:val="10"/>
              </w:rPr>
            </w:pPr>
          </w:p>
        </w:tc>
        <w:tc>
          <w:tcPr>
            <w:shd w:val="clear" w:color="auto" w:fill="FFFFFF"/>
            <w:tcBorders>
              <w:left w:val="single" w:sz="4"/>
            </w:tcBorders>
            <w:vAlign w:val="top"/>
          </w:tcPr>
          <w:p>
            <w:pPr>
              <w:pStyle w:val="Style24"/>
              <w:framePr w:w="9610"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47"/>
              </w:rPr>
              <w:t>подтверждающие</w:t>
            </w:r>
          </w:p>
        </w:tc>
        <w:tc>
          <w:tcPr>
            <w:shd w:val="clear" w:color="auto" w:fill="FFFFFF"/>
            <w:tcBorders>
              <w:left w:val="single" w:sz="4"/>
              <w:right w:val="single" w:sz="4"/>
            </w:tcBorders>
            <w:vAlign w:val="top"/>
          </w:tcPr>
          <w:p>
            <w:pPr>
              <w:pStyle w:val="Style24"/>
              <w:framePr w:w="961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46"/>
              </w:rPr>
              <w:t>является</w:t>
            </w:r>
          </w:p>
        </w:tc>
      </w:tr>
      <w:tr>
        <w:trPr>
          <w:trHeight w:val="245" w:hRule="exact"/>
        </w:trPr>
        <w:tc>
          <w:tcPr>
            <w:shd w:val="clear" w:color="auto" w:fill="FFFFFF"/>
            <w:tcBorders>
              <w:left w:val="single" w:sz="4"/>
            </w:tcBorders>
            <w:vAlign w:val="top"/>
          </w:tcPr>
          <w:p>
            <w:pPr>
              <w:framePr w:w="9610" w:wrap="notBeside" w:vAnchor="text" w:hAnchor="text" w:xAlign="center" w:y="1"/>
              <w:widowControl w:val="0"/>
              <w:rPr>
                <w:sz w:val="10"/>
                <w:szCs w:val="10"/>
              </w:rPr>
            </w:pPr>
          </w:p>
        </w:tc>
        <w:tc>
          <w:tcPr>
            <w:shd w:val="clear" w:color="auto" w:fill="FFFFFF"/>
            <w:tcBorders>
              <w:left w:val="single" w:sz="4"/>
            </w:tcBorders>
            <w:vAlign w:val="top"/>
          </w:tcPr>
          <w:p>
            <w:pPr>
              <w:pStyle w:val="Style24"/>
              <w:framePr w:w="9610"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47"/>
              </w:rPr>
              <w:t>соответствие п.17</w:t>
            </w:r>
          </w:p>
        </w:tc>
        <w:tc>
          <w:tcPr>
            <w:shd w:val="clear" w:color="auto" w:fill="FFFFFF"/>
            <w:tcBorders>
              <w:left w:val="single" w:sz="4"/>
              <w:right w:val="single" w:sz="4"/>
            </w:tcBorders>
            <w:vAlign w:val="top"/>
          </w:tcPr>
          <w:p>
            <w:pPr>
              <w:framePr w:w="9610" w:wrap="notBeside" w:vAnchor="text" w:hAnchor="text" w:xAlign="center" w:y="1"/>
              <w:widowControl w:val="0"/>
              <w:rPr>
                <w:sz w:val="10"/>
                <w:szCs w:val="10"/>
              </w:rPr>
            </w:pPr>
          </w:p>
        </w:tc>
      </w:tr>
      <w:tr>
        <w:trPr>
          <w:trHeight w:val="936" w:hRule="exact"/>
        </w:trPr>
        <w:tc>
          <w:tcPr>
            <w:shd w:val="clear" w:color="auto" w:fill="FFFFFF"/>
            <w:tcBorders>
              <w:left w:val="single" w:sz="4"/>
              <w:bottom w:val="single" w:sz="4"/>
            </w:tcBorders>
            <w:vAlign w:val="top"/>
          </w:tcPr>
          <w:p>
            <w:pPr>
              <w:framePr w:w="9610"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24"/>
              <w:framePr w:w="9610" w:wrap="notBeside" w:vAnchor="text" w:hAnchor="text" w:xAlign="center" w:y="1"/>
              <w:widowControl w:val="0"/>
              <w:keepNext w:val="0"/>
              <w:keepLines w:val="0"/>
              <w:shd w:val="clear" w:color="auto" w:fill="auto"/>
              <w:bidi w:val="0"/>
              <w:jc w:val="left"/>
              <w:spacing w:before="0" w:after="0" w:line="320" w:lineRule="exact"/>
              <w:ind w:left="120" w:right="0" w:firstLine="0"/>
            </w:pPr>
            <w:r>
              <w:rPr>
                <w:rStyle w:val="CharStyle48"/>
              </w:rPr>
              <w:t>икз</w:t>
            </w:r>
          </w:p>
        </w:tc>
        <w:tc>
          <w:tcPr>
            <w:shd w:val="clear" w:color="auto" w:fill="FFFFFF"/>
            <w:tcBorders>
              <w:left w:val="single" w:sz="4"/>
              <w:right w:val="single" w:sz="4"/>
              <w:bottom w:val="single" w:sz="4"/>
            </w:tcBorders>
            <w:vAlign w:val="top"/>
          </w:tcPr>
          <w:p>
            <w:pPr>
              <w:pStyle w:val="Style24"/>
              <w:framePr w:w="9610" w:wrap="notBeside" w:vAnchor="text" w:hAnchor="text" w:xAlign="center" w:y="1"/>
              <w:widowControl w:val="0"/>
              <w:keepNext w:val="0"/>
              <w:keepLines w:val="0"/>
              <w:shd w:val="clear" w:color="auto" w:fill="auto"/>
              <w:bidi w:val="0"/>
              <w:jc w:val="both"/>
              <w:spacing w:before="0" w:after="0" w:line="274" w:lineRule="exact"/>
              <w:ind w:left="0" w:right="0" w:firstLine="460"/>
            </w:pPr>
            <w:r>
              <w:rPr>
                <w:rStyle w:val="CharStyle46"/>
              </w:rPr>
              <w:t>а) наличие сведений об отдельных видах промышленных товаров в реестре промышленной продукции, произведенной на территории Российской</w:t>
            </w:r>
          </w:p>
        </w:tc>
      </w:tr>
    </w:tbl>
    <w:p>
      <w:pPr>
        <w:widowControl w:val="0"/>
        <w:rPr>
          <w:sz w:val="2"/>
          <w:szCs w:val="2"/>
        </w:rPr>
      </w:pPr>
    </w:p>
    <w:p>
      <w:pPr>
        <w:pStyle w:val="Style28"/>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244" w:line="278" w:lineRule="exact"/>
        <w:ind w:left="3680" w:right="40" w:firstLine="0"/>
      </w:pPr>
      <w:r>
        <w:rPr>
          <w:lang w:val="ru-RU" w:eastAsia="ru-RU" w:bidi="ru-RU"/>
          <w:w w:val="100"/>
          <w:spacing w:val="0"/>
          <w:color w:val="000000"/>
          <w:position w:val="0"/>
        </w:rPr>
        <w:t xml:space="preserve">Федерации (далее - реестр российской промышленной продукции), ведение которого осуществляет Министерство промышленности и торговли Российской Федерации в соответствии с пунктом 9 постановления Правительства Российской Федерации от 30 апреля 2020 г. </w:t>
      </w:r>
      <w:r>
        <w:rPr>
          <w:lang w:val="en-US" w:eastAsia="en-US" w:bidi="en-US"/>
          <w:w w:val="100"/>
          <w:spacing w:val="0"/>
          <w:color w:val="000000"/>
          <w:position w:val="0"/>
        </w:rPr>
        <w:t xml:space="preserve">N </w:t>
      </w:r>
      <w:r>
        <w:rPr>
          <w:lang w:val="ru-RU" w:eastAsia="ru-RU" w:bidi="ru-RU"/>
          <w:w w:val="100"/>
          <w:spacing w:val="0"/>
          <w:color w:val="000000"/>
          <w:position w:val="0"/>
        </w:rPr>
        <w:t>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28"/>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540" w:line="274" w:lineRule="exact"/>
        <w:ind w:left="3680" w:right="40" w:firstLine="460"/>
      </w:pPr>
      <w:r>
        <w:rPr>
          <w:lang w:val="ru-RU" w:eastAsia="ru-RU" w:bidi="ru-RU"/>
          <w:w w:val="100"/>
          <w:spacing w:val="0"/>
          <w:color w:val="000000"/>
          <w:position w:val="0"/>
        </w:rPr>
        <w:t>б) наличие сертификата о происхождении отдельного вида промышленного товара, выдаваемого уполномоченным органом (организацией) государства - члена Евразийского экономического союза (за исключением Российской Федерации)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28"/>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both"/>
        <w:spacing w:before="0" w:after="382" w:line="274" w:lineRule="exact"/>
        <w:ind w:left="3680" w:right="40" w:firstLine="0"/>
      </w:pPr>
      <w:r>
        <w:rPr>
          <w:lang w:val="ru-RU" w:eastAsia="ru-RU" w:bidi="ru-RU"/>
          <w:w w:val="100"/>
          <w:spacing w:val="0"/>
          <w:color w:val="000000"/>
          <w:position w:val="0"/>
        </w:rPr>
        <w:t>2. Подтверждением страны происхождения товаров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24"/>
        <w:widowControl w:val="0"/>
        <w:keepNext w:val="0"/>
        <w:keepLines w:val="0"/>
        <w:shd w:val="clear" w:color="auto" w:fill="auto"/>
        <w:bidi w:val="0"/>
        <w:jc w:val="both"/>
        <w:spacing w:before="0" w:after="0" w:line="322" w:lineRule="exact"/>
        <w:ind w:left="0" w:right="40" w:firstLine="58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4"/>
        <w:widowControl w:val="0"/>
        <w:keepNext w:val="0"/>
        <w:keepLines w:val="0"/>
        <w:shd w:val="clear" w:color="auto" w:fill="auto"/>
        <w:bidi w:val="0"/>
        <w:jc w:val="both"/>
        <w:spacing w:before="0" w:after="0" w:line="322" w:lineRule="exact"/>
        <w:ind w:left="0" w:right="40" w:firstLine="580"/>
      </w:pPr>
      <w:r>
        <w:rPr>
          <w:lang w:val="ru-RU" w:eastAsia="ru-RU" w:bidi="ru-RU"/>
          <w:w w:val="100"/>
          <w:spacing w:val="0"/>
          <w:color w:val="000000"/>
          <w:position w:val="0"/>
        </w:rPr>
        <w:t>В соответствии с пунктом 2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 при осуществлении закупки товара, в том числе поставляемого заказчику при выполнении закупаемых работ, оказании закупаемых услуг:</w:t>
      </w:r>
    </w:p>
    <w:p>
      <w:pPr>
        <w:pStyle w:val="Style24"/>
        <w:tabs>
          <w:tab w:leader="none" w:pos="917" w:val="left"/>
        </w:tabs>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а)</w:t>
        <w:tab/>
        <w:t>наименование страны происхождения товара;</w:t>
      </w:r>
    </w:p>
    <w:p>
      <w:pPr>
        <w:pStyle w:val="Style24"/>
        <w:tabs>
          <w:tab w:leader="none" w:pos="1201" w:val="lef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б)</w:t>
        <w:tab/>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Пунктом 1 части 1 статьи 33 Закона о контрактной системе предусмотрено,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4"/>
        <w:widowControl w:val="0"/>
        <w:keepNext w:val="0"/>
        <w:keepLines w:val="0"/>
        <w:shd w:val="clear" w:color="auto" w:fill="auto"/>
        <w:bidi w:val="0"/>
        <w:jc w:val="both"/>
        <w:spacing w:before="0" w:after="236" w:line="322" w:lineRule="exact"/>
        <w:ind w:left="20" w:right="20" w:firstLine="580"/>
      </w:pPr>
      <w:r>
        <w:rPr>
          <w:lang w:val="ru-RU" w:eastAsia="ru-RU" w:bidi="ru-RU"/>
          <w:w w:val="100"/>
          <w:spacing w:val="0"/>
          <w:color w:val="000000"/>
          <w:position w:val="0"/>
        </w:rPr>
        <w:t>В свою очередь, функциональные (технические) и качественные характеристики поставляемого товара, установлены в приложении № 2 раздела 9 аукционной документации электронного аукциона № 0312100005421000088 (далее техническое задание), а именно поставке подлежат:</w:t>
      </w:r>
    </w:p>
    <w:tbl>
      <w:tblPr>
        <w:tblOverlap w:val="never"/>
        <w:tblLayout w:type="fixed"/>
        <w:jc w:val="center"/>
      </w:tblPr>
      <w:tblGrid>
        <w:gridCol w:w="4454"/>
        <w:gridCol w:w="4690"/>
      </w:tblGrid>
      <w:tr>
        <w:trPr>
          <w:trHeight w:val="773" w:hRule="exact"/>
        </w:trPr>
        <w:tc>
          <w:tcPr>
            <w:shd w:val="clear" w:color="auto" w:fill="FFFFFF"/>
            <w:tcBorders>
              <w:left w:val="single" w:sz="4"/>
              <w:top w:val="single" w:sz="4"/>
            </w:tcBorders>
            <w:vAlign w:val="top"/>
          </w:tcPr>
          <w:p>
            <w:pPr>
              <w:pStyle w:val="Style24"/>
              <w:framePr w:w="914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Наименование товара</w:t>
            </w:r>
          </w:p>
        </w:tc>
        <w:tc>
          <w:tcPr>
            <w:shd w:val="clear" w:color="auto" w:fill="FFFFFF"/>
            <w:tcBorders>
              <w:left w:val="single" w:sz="4"/>
              <w:right w:val="single" w:sz="4"/>
              <w:top w:val="single" w:sz="4"/>
            </w:tcBorders>
            <w:vAlign w:val="bottom"/>
          </w:tcPr>
          <w:p>
            <w:pPr>
              <w:pStyle w:val="Style24"/>
              <w:framePr w:w="9144"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44"/>
              </w:rPr>
              <w:t>Требование к качеству, функциональным характеристикам(потребительским свойствам товара)</w:t>
            </w:r>
          </w:p>
        </w:tc>
      </w:tr>
      <w:tr>
        <w:trPr>
          <w:trHeight w:val="254" w:hRule="exact"/>
        </w:trPr>
        <w:tc>
          <w:tcPr>
            <w:shd w:val="clear" w:color="auto" w:fill="FFFFFF"/>
            <w:gridSpan w:val="2"/>
            <w:tcBorders>
              <w:left w:val="single" w:sz="4"/>
              <w:right w:val="single" w:sz="4"/>
              <w:top w:val="single" w:sz="4"/>
            </w:tcBorders>
            <w:vAlign w:val="bottom"/>
          </w:tcPr>
          <w:p>
            <w:pPr>
              <w:pStyle w:val="Style24"/>
              <w:framePr w:w="914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44"/>
              </w:rPr>
              <w:t>ОКПД2 -22.19.60.119</w:t>
            </w:r>
          </w:p>
        </w:tc>
      </w:tr>
      <w:tr>
        <w:trPr>
          <w:trHeight w:val="1286" w:hRule="exact"/>
        </w:trPr>
        <w:tc>
          <w:tcPr>
            <w:shd w:val="clear" w:color="auto" w:fill="FFFFFF"/>
            <w:tcBorders>
              <w:left w:val="single" w:sz="4"/>
              <w:top w:val="single" w:sz="4"/>
              <w:bottom w:val="single" w:sz="4"/>
            </w:tcBorders>
            <w:vAlign w:val="top"/>
          </w:tcPr>
          <w:p>
            <w:pPr>
              <w:pStyle w:val="Style24"/>
              <w:framePr w:w="914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44"/>
              </w:rPr>
              <w:t>Перчатки смотровые/процедурные для проведения ПЦР исследований</w:t>
            </w:r>
          </w:p>
        </w:tc>
        <w:tc>
          <w:tcPr>
            <w:shd w:val="clear" w:color="auto" w:fill="FFFFFF"/>
            <w:tcBorders>
              <w:left w:val="single" w:sz="4"/>
              <w:right w:val="single" w:sz="4"/>
              <w:top w:val="single" w:sz="4"/>
              <w:bottom w:val="single" w:sz="4"/>
            </w:tcBorders>
            <w:vAlign w:val="bottom"/>
          </w:tcPr>
          <w:p>
            <w:pPr>
              <w:pStyle w:val="Style24"/>
              <w:framePr w:w="9144" w:wrap="notBeside" w:vAnchor="text" w:hAnchor="text" w:xAlign="center" w:y="1"/>
              <w:widowControl w:val="0"/>
              <w:keepNext w:val="0"/>
              <w:keepLines w:val="0"/>
              <w:shd w:val="clear" w:color="auto" w:fill="auto"/>
              <w:bidi w:val="0"/>
              <w:jc w:val="left"/>
              <w:spacing w:before="0" w:after="0" w:line="250" w:lineRule="exact"/>
              <w:ind w:left="140" w:right="0" w:firstLine="0"/>
            </w:pPr>
            <w:r>
              <w:rPr>
                <w:rStyle w:val="CharStyle44"/>
              </w:rPr>
              <w:t>Материал - латекс.</w:t>
            </w:r>
          </w:p>
          <w:p>
            <w:pPr>
              <w:pStyle w:val="Style24"/>
              <w:framePr w:w="9144" w:wrap="notBeside" w:vAnchor="text" w:hAnchor="text" w:xAlign="center" w:y="1"/>
              <w:widowControl w:val="0"/>
              <w:keepNext w:val="0"/>
              <w:keepLines w:val="0"/>
              <w:shd w:val="clear" w:color="auto" w:fill="auto"/>
              <w:bidi w:val="0"/>
              <w:jc w:val="left"/>
              <w:spacing w:before="0" w:after="0" w:line="250" w:lineRule="exact"/>
              <w:ind w:left="140" w:right="0" w:firstLine="0"/>
            </w:pPr>
            <w:r>
              <w:rPr>
                <w:rStyle w:val="CharStyle44"/>
              </w:rPr>
              <w:t>Стерильность - нестерильный. Внутренняя поверхность - без талька. Размер - М.</w:t>
            </w:r>
          </w:p>
          <w:p>
            <w:pPr>
              <w:pStyle w:val="Style24"/>
              <w:framePr w:w="9144" w:wrap="notBeside" w:vAnchor="text" w:hAnchor="text" w:xAlign="center" w:y="1"/>
              <w:widowControl w:val="0"/>
              <w:keepNext w:val="0"/>
              <w:keepLines w:val="0"/>
              <w:shd w:val="clear" w:color="auto" w:fill="auto"/>
              <w:bidi w:val="0"/>
              <w:jc w:val="left"/>
              <w:spacing w:before="0" w:after="0" w:line="250" w:lineRule="exact"/>
              <w:ind w:left="140" w:right="0" w:firstLine="0"/>
            </w:pPr>
            <w:r>
              <w:rPr>
                <w:rStyle w:val="CharStyle44"/>
              </w:rPr>
              <w:t>Изделие разового использования.</w:t>
            </w:r>
          </w:p>
        </w:tc>
      </w:tr>
    </w:tbl>
    <w:p>
      <w:pPr>
        <w:widowControl w:val="0"/>
        <w:rPr>
          <w:sz w:val="2"/>
          <w:szCs w:val="2"/>
        </w:rPr>
      </w:pPr>
    </w:p>
    <w:tbl>
      <w:tblPr>
        <w:tblOverlap w:val="never"/>
        <w:tblLayout w:type="fixed"/>
        <w:jc w:val="center"/>
      </w:tblPr>
      <w:tblGrid>
        <w:gridCol w:w="4450"/>
        <w:gridCol w:w="4694"/>
      </w:tblGrid>
      <w:tr>
        <w:trPr>
          <w:trHeight w:val="542" w:hRule="exact"/>
        </w:trPr>
        <w:tc>
          <w:tcPr>
            <w:shd w:val="clear" w:color="auto" w:fill="FFFFFF"/>
            <w:tcBorders>
              <w:left w:val="single" w:sz="4"/>
              <w:top w:val="single" w:sz="4"/>
            </w:tcBorders>
            <w:vAlign w:val="top"/>
          </w:tcPr>
          <w:p>
            <w:pPr>
              <w:framePr w:w="9144"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24"/>
              <w:framePr w:w="9144"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44"/>
              </w:rPr>
              <w:t>ГОСТ Р 52239-2004.</w:t>
            </w:r>
          </w:p>
          <w:p>
            <w:pPr>
              <w:pStyle w:val="Style24"/>
              <w:framePr w:w="9144"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44"/>
              </w:rPr>
              <w:t>Срок годности не менее Зх лет.</w:t>
            </w:r>
          </w:p>
        </w:tc>
      </w:tr>
      <w:tr>
        <w:trPr>
          <w:trHeight w:val="2304" w:hRule="exact"/>
        </w:trPr>
        <w:tc>
          <w:tcPr>
            <w:shd w:val="clear" w:color="auto" w:fill="FFFFFF"/>
            <w:tcBorders>
              <w:left w:val="single" w:sz="4"/>
              <w:top w:val="single" w:sz="4"/>
            </w:tcBorders>
            <w:vAlign w:val="top"/>
          </w:tcPr>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Перчатки смотровые/процедурные для проведения ПЦР исследований</w:t>
            </w:r>
          </w:p>
        </w:tc>
        <w:tc>
          <w:tcPr>
            <w:shd w:val="clear" w:color="auto" w:fill="FFFFFF"/>
            <w:tcBorders>
              <w:left w:val="single" w:sz="4"/>
              <w:right w:val="single" w:sz="4"/>
              <w:top w:val="single" w:sz="4"/>
            </w:tcBorders>
            <w:vAlign w:val="bottom"/>
          </w:tcPr>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Материал - латекс.</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Стерильность - нестерильный.</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 xml:space="preserve">Внутренняя поверхность - без талька. Антибактериальные вещества - отсутствие. Размер - </w:t>
            </w:r>
            <w:r>
              <w:rPr>
                <w:rStyle w:val="CharStyle44"/>
                <w:lang w:val="en-US" w:eastAsia="en-US" w:bidi="en-US"/>
              </w:rPr>
              <w:t>L.</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Изделие разового использования.</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Длина не менее 24 см ±0,5 см.</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ГОСТ Р 52239-2004.</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Срок годности не менее Зх лет.</w:t>
            </w:r>
          </w:p>
        </w:tc>
      </w:tr>
      <w:tr>
        <w:trPr>
          <w:trHeight w:val="2314" w:hRule="exact"/>
        </w:trPr>
        <w:tc>
          <w:tcPr>
            <w:shd w:val="clear" w:color="auto" w:fill="FFFFFF"/>
            <w:tcBorders>
              <w:left w:val="single" w:sz="4"/>
              <w:top w:val="single" w:sz="4"/>
              <w:bottom w:val="single" w:sz="4"/>
            </w:tcBorders>
            <w:vAlign w:val="top"/>
          </w:tcPr>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Перчатки смотровые/процедурные для проведения ПЦР исследований</w:t>
            </w:r>
          </w:p>
        </w:tc>
        <w:tc>
          <w:tcPr>
            <w:shd w:val="clear" w:color="auto" w:fill="FFFFFF"/>
            <w:tcBorders>
              <w:left w:val="single" w:sz="4"/>
              <w:right w:val="single" w:sz="4"/>
              <w:top w:val="single" w:sz="4"/>
              <w:bottom w:val="single" w:sz="4"/>
            </w:tcBorders>
            <w:vAlign w:val="bottom"/>
          </w:tcPr>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Материал - латекс.</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Стерильность - нестерильный.</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 xml:space="preserve">Внутренняя поверхность - без талька. Антибактериальные вещества - отсутствие. Размер - </w:t>
            </w:r>
            <w:r>
              <w:rPr>
                <w:rStyle w:val="CharStyle44"/>
                <w:lang w:val="en-US" w:eastAsia="en-US" w:bidi="en-US"/>
              </w:rPr>
              <w:t>S.</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Изделие разового использования.</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Длина не менее 24 см ±0,5 см.</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ГОСТ Р 52239-2004.</w:t>
            </w:r>
          </w:p>
          <w:p>
            <w:pPr>
              <w:pStyle w:val="Style24"/>
              <w:framePr w:w="914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44"/>
              </w:rPr>
              <w:t>Срок годности не менее Зх лет.</w:t>
            </w:r>
          </w:p>
        </w:tc>
      </w:tr>
    </w:tbl>
    <w:p>
      <w:pPr>
        <w:widowControl w:val="0"/>
        <w:rPr>
          <w:sz w:val="2"/>
          <w:szCs w:val="2"/>
        </w:rPr>
      </w:pPr>
    </w:p>
    <w:p>
      <w:pPr>
        <w:pStyle w:val="Style24"/>
        <w:widowControl w:val="0"/>
        <w:keepNext w:val="0"/>
        <w:keepLines w:val="0"/>
        <w:shd w:val="clear" w:color="auto" w:fill="auto"/>
        <w:bidi w:val="0"/>
        <w:jc w:val="both"/>
        <w:spacing w:before="304" w:after="0"/>
        <w:ind w:left="20" w:right="20" w:firstLine="560"/>
      </w:pPr>
      <w:r>
        <w:rPr>
          <w:lang w:val="ru-RU" w:eastAsia="ru-RU" w:bidi="ru-RU"/>
          <w:w w:val="100"/>
          <w:spacing w:val="0"/>
          <w:color w:val="000000"/>
          <w:position w:val="0"/>
        </w:rPr>
        <w:t xml:space="preserve">На основании изложенного, объектом закупки является поставка «Перчатки смотровые/процедурные для проведения ПЦР исследований» с кодом ОКПД2 - - 22.19.60.119, относящийся к подгруппе кода ОКПД2 - 22.19.6 «Предметы одежды и ее аксессуары из вулканизированной резины, кроме твердой резины (эбонита)», входящие в Перечень Постановления от 30.04.2020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617, следовательно, в соответствии с пунктами 7 и 9 Постановления от 30.04.2020 </w:t>
      </w:r>
      <w:r>
        <w:rPr>
          <w:lang w:val="en-US" w:eastAsia="en-US" w:bidi="en-US"/>
          <w:w w:val="100"/>
          <w:spacing w:val="0"/>
          <w:color w:val="000000"/>
          <w:position w:val="0"/>
        </w:rPr>
        <w:t xml:space="preserve">N </w:t>
      </w:r>
      <w:r>
        <w:rPr>
          <w:lang w:val="ru-RU" w:eastAsia="ru-RU" w:bidi="ru-RU"/>
          <w:w w:val="100"/>
          <w:spacing w:val="0"/>
          <w:color w:val="000000"/>
          <w:position w:val="0"/>
        </w:rPr>
        <w:t>617 участникам закупки необходимо представить во второй части заявки непосредственно:</w:t>
      </w:r>
    </w:p>
    <w:p>
      <w:pPr>
        <w:pStyle w:val="Style24"/>
        <w:numPr>
          <w:ilvl w:val="0"/>
          <w:numId w:val="1"/>
        </w:numPr>
        <w:widowControl w:val="0"/>
        <w:keepNext w:val="0"/>
        <w:keepLines w:val="0"/>
        <w:shd w:val="clear" w:color="auto" w:fill="auto"/>
        <w:bidi w:val="0"/>
        <w:jc w:val="both"/>
        <w:spacing w:before="0" w:after="0"/>
        <w:ind w:left="20" w:right="20" w:firstLine="560"/>
      </w:pPr>
      <w:r>
        <w:rPr>
          <w:rStyle w:val="CharStyle49"/>
        </w:rPr>
        <w:t xml:space="preserve"> </w:t>
      </w:r>
      <w:r>
        <w:rPr>
          <w:lang w:val="ru-RU" w:eastAsia="ru-RU" w:bidi="ru-RU"/>
          <w:w w:val="100"/>
          <w:spacing w:val="0"/>
          <w:color w:val="000000"/>
          <w:position w:val="0"/>
        </w:rPr>
        <w:t>подтверждение страны происхождения промышленных товаров, предлагаемых к поставке;</w:t>
      </w:r>
    </w:p>
    <w:p>
      <w:pPr>
        <w:pStyle w:val="Style24"/>
        <w:numPr>
          <w:ilvl w:val="0"/>
          <w:numId w:val="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представление участником закупки в составе заявки информации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 Информация о реестровой записи об отдельном виде промышленного товара включается в контракт.</w:t>
      </w:r>
    </w:p>
    <w:p>
      <w:pPr>
        <w:pStyle w:val="Style2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Комиссий Тывинского УФАС России установлено, что участник закупки под № 10686682 (ООО «ИвановоМедТекстиль») в составе первой части заявки предложил к поставке «Перчатки смотровые/процедурные для проведения ПЦР исследований (словесное обозначение товарного знака отсутствует)» со страной происхождения товара Китай, Малайзия.</w:t>
      </w:r>
    </w:p>
    <w:p>
      <w:pPr>
        <w:pStyle w:val="Style24"/>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Как было указано выше, заявке участника закупки под № 10686682 (ООО «ИвановоМедТекстиль») отказано в допуске к участию в электронном аукционе № 0312100005421000088 в связи с предложением к поставке товара,</w:t>
      </w:r>
    </w:p>
    <w:p>
      <w:pPr>
        <w:pStyle w:val="Style50"/>
        <w:widowControl w:val="0"/>
        <w:keepNext w:val="0"/>
        <w:keepLines w:val="0"/>
        <w:shd w:val="clear" w:color="auto" w:fill="auto"/>
        <w:bidi w:val="0"/>
        <w:spacing w:before="0" w:after="236" w:line="320" w:lineRule="exact"/>
        <w:ind w:left="0" w:right="0" w:firstLine="0"/>
      </w:pPr>
      <w:r>
        <w:rPr>
          <w:lang w:val="ru-RU" w:eastAsia="ru-RU" w:bidi="ru-RU"/>
          <w:w w:val="100"/>
          <w:spacing w:val="0"/>
          <w:color w:val="000000"/>
          <w:position w:val="0"/>
        </w:rPr>
        <w:t>и</w:t>
      </w:r>
    </w:p>
    <w:p>
      <w:pPr>
        <w:pStyle w:val="Style24"/>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происходящего из иностранных государств, при наличии 2-х заявок, удовлетворяющих требованиям данного постановления.</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На основании изложенного, Комиссией Тывинского УФАС России установлено, что участниками закупки подтверждение страны происхождения промышленных товаров и информация о нахождении отдельного вида промышленных товаров в реестре российской промышленной продукции предоставляется в составе вторых частей заявок, следовательно, отказ в допуске к участию в электронном аукционе № 0312100005421000088 на этапе рассмотрения первых частей заявок противоречит требованиям положениями Постановления от 30.04.2020 </w:t>
      </w:r>
      <w:r>
        <w:rPr>
          <w:lang w:val="en-US" w:eastAsia="en-US" w:bidi="en-US"/>
          <w:w w:val="100"/>
          <w:spacing w:val="0"/>
          <w:color w:val="000000"/>
          <w:position w:val="0"/>
        </w:rPr>
        <w:t xml:space="preserve">N </w:t>
      </w:r>
      <w:r>
        <w:rPr>
          <w:lang w:val="ru-RU" w:eastAsia="ru-RU" w:bidi="ru-RU"/>
          <w:w w:val="100"/>
          <w:spacing w:val="0"/>
          <w:color w:val="000000"/>
          <w:position w:val="0"/>
        </w:rPr>
        <w:t>617, пункта 6 части 5 статьи 66 Закона о контрактной системе, также не соответствует требованиям положений подпункта 6 пункта 3.3 документации электронного аукциона № 0312100005421000088.</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Таким образом, аукционная комиссия не имела правовых оснований для отказа в допуске к участию в электронном аукционе № 0312100005421000088 заявке участника закупки под № 10686682 (ООО «ИвановоМедТекстиль») со ссылкой на пункт 2 части 4 стати 67 Закона о контрактной системе, в связи с чем, довод подателя жалобы о неправомерном отказе в допуске к участию в электронном аукционе № 0312100005421000088, является обоснованным.</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Следовательно, в действиях аукционной комиссии государственного заказчика - Федерального казённого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нарушение пункта 2 части 4 стати 67 Закона о контрактной системе, в части неправомерного отказа в допуске к участию в электронном аукционе № 0312100005421000088 заявке участника закупки под № 110686682 (ООО «ИвановоМедТекстиль»).</w:t>
      </w:r>
    </w:p>
    <w:p>
      <w:pPr>
        <w:pStyle w:val="Style24"/>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Указанные действия членов аукционной комиссии государственного заказчика содержат признаки административного правонарушения, предусмотренного частью 2 статьи 7.30 КоАП РФ.</w:t>
      </w:r>
    </w:p>
    <w:p>
      <w:pPr>
        <w:pStyle w:val="Style52"/>
        <w:widowControl w:val="0"/>
        <w:keepNext w:val="0"/>
        <w:keepLines w:val="0"/>
        <w:shd w:val="clear" w:color="auto" w:fill="auto"/>
        <w:bidi w:val="0"/>
        <w:spacing w:before="0" w:after="0"/>
        <w:ind w:left="20" w:right="20"/>
      </w:pPr>
      <w:r>
        <w:rPr>
          <w:lang w:val="ru-RU" w:eastAsia="ru-RU" w:bidi="ru-RU"/>
          <w:w w:val="100"/>
          <w:spacing w:val="0"/>
          <w:color w:val="000000"/>
          <w:position w:val="0"/>
        </w:rPr>
        <w:t>По результатам проведенной внеплановой документарной проверки установлено следующее.</w:t>
      </w:r>
    </w:p>
    <w:p>
      <w:pPr>
        <w:pStyle w:val="Style24"/>
        <w:numPr>
          <w:ilvl w:val="0"/>
          <w:numId w:val="3"/>
        </w:numPr>
        <w:tabs>
          <w:tab w:leader="none" w:pos="933" w:val="lef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Комиссия Тывинского УФАС России, изучив заявки участников закупки под № 110659362, 110670316, 110679482, 110681149, 110682346, 10682427, 10684361, 110686848, 110687528, установила, что в составе первой части заявки предложили к поставке товары, с характеристиками, в соответствии с техническим заданием, со следующими странами происхождения товаров:</w:t>
      </w:r>
    </w:p>
    <w:p>
      <w:pPr>
        <w:pStyle w:val="Style24"/>
        <w:numPr>
          <w:ilvl w:val="0"/>
          <w:numId w:val="1"/>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участник закупки под № (1) 110659362 товар со страной происхождения - Малайзия;</w:t>
      </w:r>
    </w:p>
    <w:p>
      <w:pPr>
        <w:pStyle w:val="Style24"/>
        <w:numPr>
          <w:ilvl w:val="0"/>
          <w:numId w:val="1"/>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участник закупки под № (2) 110670316 товар со страной происхождения - Малайзия;</w:t>
      </w:r>
    </w:p>
    <w:p>
      <w:pPr>
        <w:pStyle w:val="Style24"/>
        <w:widowControl w:val="0"/>
        <w:keepNext w:val="0"/>
        <w:keepLines w:val="0"/>
        <w:shd w:val="clear" w:color="auto" w:fill="auto"/>
        <w:bidi w:val="0"/>
        <w:jc w:val="both"/>
        <w:spacing w:before="0" w:after="0" w:line="331" w:lineRule="exact"/>
        <w:ind w:left="20" w:right="20" w:firstLine="580"/>
      </w:pPr>
      <w:r>
        <w:rPr>
          <w:lang w:val="ru-RU" w:eastAsia="ru-RU" w:bidi="ru-RU"/>
          <w:w w:val="100"/>
          <w:spacing w:val="0"/>
          <w:color w:val="000000"/>
          <w:position w:val="0"/>
        </w:rPr>
        <w:t>-участник закупки под № (3) 110679482 товар со страной происхождения - Малайзия;</w:t>
      </w:r>
    </w:p>
    <w:p>
      <w:pPr>
        <w:pStyle w:val="Style24"/>
        <w:numPr>
          <w:ilvl w:val="0"/>
          <w:numId w:val="1"/>
        </w:numPr>
        <w:widowControl w:val="0"/>
        <w:keepNext w:val="0"/>
        <w:keepLines w:val="0"/>
        <w:shd w:val="clear" w:color="auto" w:fill="auto"/>
        <w:bidi w:val="0"/>
        <w:jc w:val="both"/>
        <w:spacing w:before="0" w:after="0" w:line="341" w:lineRule="exact"/>
        <w:ind w:left="20" w:right="20" w:firstLine="580"/>
      </w:pPr>
      <w:r>
        <w:rPr>
          <w:lang w:val="ru-RU" w:eastAsia="ru-RU" w:bidi="ru-RU"/>
          <w:w w:val="100"/>
          <w:spacing w:val="0"/>
          <w:color w:val="000000"/>
          <w:position w:val="0"/>
        </w:rPr>
        <w:t xml:space="preserve"> участник закупки под № (4) 110681149 товар со страной происхождения — Таиланд;</w:t>
      </w:r>
    </w:p>
    <w:p>
      <w:pPr>
        <w:pStyle w:val="Style24"/>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участник закупки под № (5) 110682346 со страной происхождения - Г ермания;</w:t>
      </w:r>
    </w:p>
    <w:p>
      <w:pPr>
        <w:pStyle w:val="Style24"/>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участник закупки под № (6) 10682427 со страной происхождения - Малайзия;</w:t>
      </w:r>
    </w:p>
    <w:p>
      <w:pPr>
        <w:pStyle w:val="Style24"/>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участник закупки под № (7) 10684361 со страной происхождения - Австрия, Вьетнам, Германия, Российская Федерация, Таиланд;</w:t>
      </w:r>
    </w:p>
    <w:p>
      <w:pPr>
        <w:pStyle w:val="Style24"/>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участник закупки под № (12) 110686848 со страной происхождения - Малайзия;</w:t>
      </w:r>
    </w:p>
    <w:p>
      <w:pPr>
        <w:pStyle w:val="Style24"/>
        <w:numPr>
          <w:ilvl w:val="0"/>
          <w:numId w:val="1"/>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участник закупки под № (13) 110687528 со страной происхождения — Китай.</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Как было указано выше, заявкам участников закупки под № 110659362, 110670316, 110679482, 110681149, 110682346, 10682427, 10684361, 110686848, 110687528 отказано в допуске к участию в электронном аукционе № 0312100005421000088 в связи с предложением к поставке товаров, происходящих из иностранных государств, при наличии 2-х заявок, удовлетворяющих требованиям данного постановления.</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На основании изложенного, Комиссией Тывинского УФАС России установлено, что участниками закупки подтверждение страны происхождения промышленных товаров и информация о нахождении отдельного вида промышленных товаров в реестре российской промышленной продукции предоставляется в составе вторых частей заявок, следовательно, отказ в допуске к участию в электронном аукционе № 0312100005421000088 на этапе рассмотрения первых частей заявок противоречит требованиям положениями Постановления от 30.04.2020 </w:t>
      </w:r>
      <w:r>
        <w:rPr>
          <w:lang w:val="en-US" w:eastAsia="en-US" w:bidi="en-US"/>
          <w:w w:val="100"/>
          <w:spacing w:val="0"/>
          <w:color w:val="000000"/>
          <w:position w:val="0"/>
        </w:rPr>
        <w:t xml:space="preserve">N </w:t>
      </w:r>
      <w:r>
        <w:rPr>
          <w:lang w:val="ru-RU" w:eastAsia="ru-RU" w:bidi="ru-RU"/>
          <w:w w:val="100"/>
          <w:spacing w:val="0"/>
          <w:color w:val="000000"/>
          <w:position w:val="0"/>
        </w:rPr>
        <w:t>617, пункта 6 части 5 статьи 66 Закона о контрактной системе, также не соответствует требованиям положений подпункта 6 пункта 3.3 документации электронного аукциона № 0312100005421000088.</w:t>
      </w:r>
    </w:p>
    <w:p>
      <w:pPr>
        <w:pStyle w:val="Style24"/>
        <w:tabs>
          <w:tab w:leader="none" w:pos="5204" w:val="left"/>
          <w:tab w:leader="none" w:pos="6778" w:val="left"/>
          <w:tab w:leader="none" w:pos="9634" w:val="righ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аукционная комиссия не имела правовых оснований для отказа в допуске к участию в электронном аукционе № 0312100005421000088 заявкам участников закупки под №</w:t>
        <w:tab/>
        <w:t>110659362,</w:t>
        <w:tab/>
        <w:t>110670316,</w:t>
        <w:tab/>
        <w:t>110679482,</w:t>
      </w:r>
    </w:p>
    <w:p>
      <w:pPr>
        <w:pStyle w:val="Style24"/>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110681149,110682346,10682427, 10684361,110686848,110687528 со ссылкой на пункт 2 части 4 стати 67 Закона о контрактной системе, в связи с чем, довод подателя жалобы о неправомерном отказе в допуске к участию в электронном аукционе № 0312100005421000088, является обоснованным.</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Следовательно, в действиях аукционной комиссии государственного заказчика - Федерального казённого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нарушение пункта 2 части 4 стати 67 Закона о контрактной системе, в части неправомерного отказа в допуске к участию в электронном аукционе № 0312100005421000088 заявкам участников закупки под № 110659362, 110670316, 110679482, 110681149, 110682346, 10682427,10684361, 110686848, 110687528.</w:t>
      </w:r>
    </w:p>
    <w:p>
      <w:pPr>
        <w:pStyle w:val="Style24"/>
        <w:numPr>
          <w:ilvl w:val="0"/>
          <w:numId w:val="3"/>
        </w:numPr>
        <w:tabs>
          <w:tab w:leader="none" w:pos="923"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пункту 3 части 5 статьи 66 Закона о контрактной системе копии документов, подтверждающих соответствие товара, работы или услуги требованиям, установленным в соответствии с Закона о контрактной системе,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Закона о контрактной системе они передаются вместе с товаром.</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Согласно части 1 статьи 38 Федерального закона от 21.11.2011 г.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В соответствии с частью 4 статьи 38 Федерального закона от 21.11.2011 г. </w:t>
      </w:r>
      <w:r>
        <w:rPr>
          <w:lang w:val="en-US" w:eastAsia="en-US" w:bidi="en-US"/>
          <w:w w:val="100"/>
          <w:spacing w:val="0"/>
          <w:color w:val="000000"/>
          <w:position w:val="0"/>
        </w:rPr>
        <w:t xml:space="preserve">N </w:t>
      </w:r>
      <w:r>
        <w:rPr>
          <w:lang w:val="ru-RU" w:eastAsia="ru-RU" w:bidi="ru-RU"/>
          <w:w w:val="100"/>
          <w:spacing w:val="0"/>
          <w:color w:val="000000"/>
          <w:position w:val="0"/>
        </w:rPr>
        <w:t>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Пунктом 6 Правил государственной регистрации медицинских изделий, утвержденных постановлением Правительства РФ от 27.12.2012 </w:t>
      </w:r>
      <w:r>
        <w:rPr>
          <w:lang w:val="en-US" w:eastAsia="en-US" w:bidi="en-US"/>
          <w:w w:val="100"/>
          <w:spacing w:val="0"/>
          <w:color w:val="000000"/>
          <w:position w:val="0"/>
        </w:rPr>
        <w:t xml:space="preserve">N </w:t>
      </w:r>
      <w:r>
        <w:rPr>
          <w:lang w:val="ru-RU" w:eastAsia="ru-RU" w:bidi="ru-RU"/>
          <w:w w:val="100"/>
          <w:spacing w:val="0"/>
          <w:color w:val="000000"/>
          <w:position w:val="0"/>
        </w:rPr>
        <w:t>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Однако, в составе аукционной документации отсутствует требование о предоставлении участниками закупки во второй части заявки регистрационного удостоверения на поставляемое медицинское изделие.</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Кроме того, вышеуказанная позиция также подтверждается письмом ФАС России от 23 октября 2014 г. </w:t>
      </w:r>
      <w:r>
        <w:rPr>
          <w:lang w:val="en-US" w:eastAsia="en-US" w:bidi="en-US"/>
          <w:w w:val="100"/>
          <w:spacing w:val="0"/>
          <w:color w:val="000000"/>
          <w:position w:val="0"/>
        </w:rPr>
        <w:t xml:space="preserve">N </w:t>
      </w:r>
      <w:r>
        <w:rPr>
          <w:lang w:val="ru-RU" w:eastAsia="ru-RU" w:bidi="ru-RU"/>
          <w:w w:val="100"/>
          <w:spacing w:val="0"/>
          <w:color w:val="000000"/>
          <w:position w:val="0"/>
        </w:rPr>
        <w:t>АД/43043/14.</w:t>
      </w:r>
    </w:p>
    <w:p>
      <w:pPr>
        <w:pStyle w:val="Style24"/>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Таким образом, в действиях государственного заказчика - Федерального казённого учреждения здравоохранения «Тувинская противочумная станция»</w:t>
      </w:r>
    </w:p>
    <w:p>
      <w:pPr>
        <w:pStyle w:val="Style24"/>
        <w:widowControl w:val="0"/>
        <w:keepNext w:val="0"/>
        <w:keepLines w:val="0"/>
        <w:shd w:val="clear" w:color="auto" w:fill="auto"/>
        <w:bidi w:val="0"/>
        <w:jc w:val="both"/>
        <w:spacing w:before="0" w:after="0" w:line="322" w:lineRule="exact"/>
        <w:ind w:left="20" w:right="40" w:firstLine="0"/>
      </w:pPr>
      <w:r>
        <w:rPr>
          <w:lang w:val="ru-RU" w:eastAsia="ru-RU" w:bidi="ru-RU"/>
          <w:w w:val="100"/>
          <w:spacing w:val="0"/>
          <w:color w:val="000000"/>
          <w:position w:val="0"/>
        </w:rPr>
        <w:t>Федеральной службы по надзору в сфере защиты прав потребителей и благополучия человека установлено нарушение пункта 3 части 5 стати 66 Закона о контрактной системе, в части неустановленния в документации электронного аукциона № 0312100005421000088 требования о предоставлении участниками закупки во второй части заявки регистрационного удостоверения на предлагаемые к поставке медицинские изделия.</w:t>
      </w:r>
    </w:p>
    <w:p>
      <w:pPr>
        <w:pStyle w:val="Style24"/>
        <w:widowControl w:val="0"/>
        <w:keepNext w:val="0"/>
        <w:keepLines w:val="0"/>
        <w:shd w:val="clear" w:color="auto" w:fill="auto"/>
        <w:bidi w:val="0"/>
        <w:jc w:val="both"/>
        <w:spacing w:before="0" w:after="0" w:line="322" w:lineRule="exact"/>
        <w:ind w:left="20" w:right="40" w:firstLine="580"/>
      </w:pPr>
      <w:r>
        <w:rPr>
          <w:lang w:val="ru-RU" w:eastAsia="ru-RU" w:bidi="ru-RU"/>
          <w:w w:val="100"/>
          <w:spacing w:val="0"/>
          <w:color w:val="000000"/>
          <w:position w:val="0"/>
        </w:rPr>
        <w:t>Указанные действия ответственного должностного лица государственного заказчика содержат признаки административного правонарушения, предусмотренного частью 4.2 статьи 7.30 КоАП РФ.</w:t>
      </w:r>
    </w:p>
    <w:p>
      <w:pPr>
        <w:pStyle w:val="Style24"/>
        <w:widowControl w:val="0"/>
        <w:keepNext w:val="0"/>
        <w:keepLines w:val="0"/>
        <w:shd w:val="clear" w:color="auto" w:fill="auto"/>
        <w:bidi w:val="0"/>
        <w:jc w:val="both"/>
        <w:spacing w:before="0" w:after="289" w:line="322" w:lineRule="exact"/>
        <w:ind w:left="20" w:right="40" w:firstLine="580"/>
      </w:pPr>
      <w:r>
        <w:rPr>
          <w:lang w:val="ru-RU" w:eastAsia="ru-RU" w:bidi="ru-RU"/>
          <w:w w:val="100"/>
          <w:spacing w:val="0"/>
          <w:color w:val="000000"/>
          <w:position w:val="0"/>
        </w:rPr>
        <w:t>На основании изложенного, руководствуясь статьей 99, частью 8 статьи 106 Закона о контрактной системе, Административным регламентом, утвержденным приказом ФАС России от 19.11.2014 года № 727/14, Комиссия Тывинского УФАС России,</w:t>
      </w:r>
    </w:p>
    <w:p>
      <w:pPr>
        <w:pStyle w:val="Style24"/>
        <w:widowControl w:val="0"/>
        <w:keepNext w:val="0"/>
        <w:keepLines w:val="0"/>
        <w:shd w:val="clear" w:color="auto" w:fill="auto"/>
        <w:bidi w:val="0"/>
        <w:jc w:val="left"/>
        <w:spacing w:before="0" w:after="312" w:line="260" w:lineRule="exact"/>
        <w:ind w:left="4480" w:right="0" w:firstLine="0"/>
      </w:pPr>
      <w:r>
        <w:rPr>
          <w:lang w:val="ru-RU" w:eastAsia="ru-RU" w:bidi="ru-RU"/>
          <w:w w:val="100"/>
          <w:spacing w:val="0"/>
          <w:color w:val="000000"/>
          <w:position w:val="0"/>
        </w:rPr>
        <w:t>РЕШИЛА:</w:t>
      </w:r>
    </w:p>
    <w:p>
      <w:pPr>
        <w:pStyle w:val="Style24"/>
        <w:numPr>
          <w:ilvl w:val="0"/>
          <w:numId w:val="5"/>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Признать жалобу Общества с ограниченной ответственностью «ИвановоМедТекстиль» обоснованной.</w:t>
      </w:r>
    </w:p>
    <w:p>
      <w:pPr>
        <w:pStyle w:val="Style24"/>
        <w:numPr>
          <w:ilvl w:val="0"/>
          <w:numId w:val="5"/>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Установить в действиях аукционной комиссии государственного заказчика - Федерального казённого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нарушение пункта 2 части 4 стати 67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в части неправомерного отказа в допуске к участию в электронном аукционе № 0312100005421000088 заявке участника закупки под № 110686682 (ООО «ИвановоМедТекстиль»).</w:t>
      </w:r>
    </w:p>
    <w:p>
      <w:pPr>
        <w:pStyle w:val="Style24"/>
        <w:numPr>
          <w:ilvl w:val="0"/>
          <w:numId w:val="5"/>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По результатам проведенной внеплановой документарной проверки установить в действиях:</w:t>
      </w:r>
    </w:p>
    <w:p>
      <w:pPr>
        <w:pStyle w:val="Style24"/>
        <w:numPr>
          <w:ilvl w:val="1"/>
          <w:numId w:val="5"/>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аукционной комиссии государственного заказчика - Федерального казённого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нарушения пункта 2 части 4 стати 67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в части неправомерного отказа в допуске к участию в электронном аукционе № 0312100005421000088 заявкам участников закупки под № 110659362, 110670316, 110679482,110681149, 110682346, 10682427,10684361, 110686848,110687528;</w:t>
      </w:r>
    </w:p>
    <w:p>
      <w:pPr>
        <w:pStyle w:val="Style24"/>
        <w:numPr>
          <w:ilvl w:val="1"/>
          <w:numId w:val="5"/>
        </w:numPr>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 государственного заказчика - Федерального казённого учреждения здравоохранения «Тувинская противочумная станция» Федеральной службы по надзору в сфере защиты прав потребителей и благополучия человека нарушение пункта 3 части 5 стати 66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в части неустановленния в</w:t>
        <w:br w:type="page"/>
        <w:t>документации электронного аукциона № 0312100005421000088 требования о предоставлении участниками закупки во второй части заявки регистрационного удостоверения на предлагаемые к поставке медицинские изделия.</w:t>
      </w:r>
    </w:p>
    <w:p>
      <w:pPr>
        <w:pStyle w:val="Style24"/>
        <w:numPr>
          <w:ilvl w:val="0"/>
          <w:numId w:val="5"/>
        </w:numPr>
        <w:tabs>
          <w:tab w:leader="none" w:pos="1057" w:val="left"/>
        </w:tabs>
        <w:widowControl w:val="0"/>
        <w:keepNext w:val="0"/>
        <w:keepLines w:val="0"/>
        <w:shd w:val="clear" w:color="auto" w:fill="auto"/>
        <w:bidi w:val="0"/>
        <w:jc w:val="both"/>
        <w:spacing w:before="0" w:after="0" w:line="326" w:lineRule="exact"/>
        <w:ind w:left="20" w:right="20" w:firstLine="580"/>
        <w:sectPr>
          <w:footnotePr>
            <w:pos w:val="pageBottom"/>
            <w:numFmt w:val="decimal"/>
            <w:numRestart w:val="continuous"/>
          </w:footnotePr>
          <w:type w:val="continuous"/>
          <w:pgSz w:w="11906" w:h="16838"/>
          <w:pgMar w:top="747" w:left="817" w:right="817" w:bottom="503" w:header="0" w:footer="3" w:gutter="557"/>
          <w:rtlGutter w:val="0"/>
          <w:cols w:space="720"/>
          <w:noEndnote/>
          <w:docGrid w:linePitch="360"/>
        </w:sectPr>
      </w:pPr>
      <w:r>
        <w:rPr>
          <w:lang w:val="ru-RU" w:eastAsia="ru-RU" w:bidi="ru-RU"/>
          <w:w w:val="100"/>
          <w:spacing w:val="0"/>
          <w:color w:val="000000"/>
          <w:position w:val="0"/>
        </w:rPr>
        <w:t>Выдать государственному заказчику - Федеральному казённому учреждению здравоохранения «Тувинская противочумная станция» Федеральной службы по надзору в сфере защиты прав потребителей и благополучия человека, оператору электронной торговой площадки - ООО «РТС-тендер» предписание об устранении нарушений законодательства о контрактной системе.</w:t>
      </w: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827" w:line="260" w:lineRule="exact"/>
        <w:ind w:left="0" w:right="0" w:firstLine="0"/>
      </w:pPr>
      <w:r>
        <w:rPr>
          <w:lang w:val="ru-RU" w:eastAsia="ru-RU" w:bidi="ru-RU"/>
          <w:w w:val="100"/>
          <w:spacing w:val="0"/>
          <w:color w:val="000000"/>
          <w:position w:val="0"/>
        </w:rPr>
        <w:t>Председательствующий Комиссии</w:t>
      </w:r>
    </w:p>
    <w:p>
      <w:pPr>
        <w:pStyle w:val="Style24"/>
        <w:framePr w:h="250" w:wrap="notBeside" w:vAnchor="text" w:hAnchor="margin" w:x="8719" w:y="356"/>
        <w:widowControl w:val="0"/>
        <w:keepNext w:val="0"/>
        <w:keepLines w:val="0"/>
        <w:shd w:val="clear" w:color="auto" w:fill="auto"/>
        <w:bidi w:val="0"/>
        <w:jc w:val="left"/>
        <w:spacing w:before="0" w:after="0" w:line="240" w:lineRule="exact"/>
        <w:ind w:left="100" w:right="0" w:firstLine="0"/>
      </w:pPr>
      <w:r>
        <w:rPr>
          <w:rStyle w:val="CharStyle54"/>
          <w:spacing w:val="0"/>
        </w:rPr>
        <w:t>С.С. Оюн</w:t>
      </w:r>
    </w:p>
    <w:p>
      <w:pPr>
        <w:pStyle w:val="Style24"/>
        <w:widowControl w:val="0"/>
        <w:keepNext w:val="0"/>
        <w:keepLines w:val="0"/>
        <w:shd w:val="clear" w:color="auto" w:fill="auto"/>
        <w:bidi w:val="0"/>
        <w:jc w:val="left"/>
        <w:spacing w:before="0" w:after="0" w:line="260" w:lineRule="exact"/>
        <w:ind w:left="0" w:right="0" w:firstLine="0"/>
        <w:sectPr>
          <w:type w:val="continuous"/>
          <w:pgSz w:w="11906" w:h="16838"/>
          <w:pgMar w:top="4344" w:left="1071" w:right="6313" w:bottom="376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1046" w:line="260" w:lineRule="exact"/>
        <w:ind w:left="7900" w:right="0" w:firstLine="0"/>
      </w:pPr>
      <w:r>
        <w:rPr>
          <w:lang w:val="ru-RU" w:eastAsia="ru-RU" w:bidi="ru-RU"/>
          <w:w w:val="100"/>
          <w:spacing w:val="0"/>
          <w:color w:val="000000"/>
          <w:position w:val="0"/>
        </w:rPr>
        <w:t>Ш.Ш. Донгак</w:t>
      </w:r>
    </w:p>
    <w:p>
      <w:pPr>
        <w:pStyle w:val="Style24"/>
        <w:widowControl w:val="0"/>
        <w:keepNext w:val="0"/>
        <w:keepLines w:val="0"/>
        <w:shd w:val="clear" w:color="auto" w:fill="auto"/>
        <w:bidi w:val="0"/>
        <w:jc w:val="left"/>
        <w:spacing w:before="0" w:after="0" w:line="374" w:lineRule="exact"/>
        <w:ind w:left="0" w:right="400" w:firstLine="560"/>
      </w:pPr>
      <w:r>
        <w:rPr>
          <w:lang w:val="ru-RU" w:eastAsia="ru-RU" w:bidi="ru-RU"/>
          <w:w w:val="100"/>
          <w:spacing w:val="0"/>
          <w:color w:val="000000"/>
          <w:position w:val="0"/>
        </w:rPr>
        <w:t>Решение может быть обжаловано в арбитражный суд в течение трех месяцев со дня его вынесения.</w:t>
      </w:r>
    </w:p>
    <w:sectPr>
      <w:type w:val="continuous"/>
      <w:pgSz w:w="11906" w:h="16838"/>
      <w:pgMar w:top="4344" w:left="965" w:right="927" w:bottom="37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19"/>
      <w:szCs w:val="19"/>
      <w:rFonts w:ascii="Times New Roman" w:eastAsia="Times New Roman" w:hAnsi="Times New Roman" w:cs="Times New Roman"/>
      <w:spacing w:val="3"/>
    </w:rPr>
  </w:style>
  <w:style w:type="character" w:customStyle="1" w:styleId="CharStyle5">
    <w:name w:val="Основной текст (3) Exact"/>
    <w:basedOn w:val="CharStyle18"/>
    <w:rPr>
      <w:sz w:val="19"/>
      <w:szCs w:val="19"/>
      <w:spacing w:val="3"/>
    </w:rPr>
  </w:style>
  <w:style w:type="character" w:customStyle="1" w:styleId="CharStyle7">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8">
    <w:name w:val="Основной текст (4) Exact"/>
    <w:basedOn w:val="CharStyle21"/>
    <w:rPr>
      <w:sz w:val="19"/>
      <w:szCs w:val="19"/>
      <w:spacing w:val="3"/>
    </w:rPr>
  </w:style>
  <w:style w:type="character" w:customStyle="1" w:styleId="CharStyle9">
    <w:name w:val="Основной текст (4) Exact"/>
    <w:basedOn w:val="CharStyle21"/>
    <w:rPr>
      <w:sz w:val="19"/>
      <w:szCs w:val="19"/>
      <w:spacing w:val="3"/>
    </w:rPr>
  </w:style>
  <w:style w:type="character" w:customStyle="1" w:styleId="CharStyle11">
    <w:name w:val="Основной текст (7) Exact"/>
    <w:basedOn w:val="DefaultParagraphFont"/>
    <w:link w:val="Style10"/>
    <w:rPr>
      <w:b w:val="0"/>
      <w:bCs w:val="0"/>
      <w:i/>
      <w:iCs/>
      <w:u w:val="none"/>
      <w:strike w:val="0"/>
      <w:smallCaps w:val="0"/>
      <w:sz w:val="34"/>
      <w:szCs w:val="34"/>
      <w:rFonts w:ascii="Times New Roman" w:eastAsia="Times New Roman" w:hAnsi="Times New Roman" w:cs="Times New Roman"/>
      <w:spacing w:val="10"/>
    </w:rPr>
  </w:style>
  <w:style w:type="character" w:customStyle="1" w:styleId="CharStyle12">
    <w:name w:val="Основной текст (7) Exact"/>
    <w:basedOn w:val="CharStyle11"/>
    <w:rPr>
      <w:lang w:val="ru-RU" w:eastAsia="ru-RU" w:bidi="ru-RU"/>
      <w:u w:val="single"/>
      <w:w w:val="100"/>
      <w:color w:val="000000"/>
      <w:position w:val="0"/>
    </w:rPr>
  </w:style>
  <w:style w:type="character" w:customStyle="1" w:styleId="CharStyle13">
    <w:name w:val="Основной текст (7) + 13 pt,Не курсив,Интервал 1 pt Exact"/>
    <w:basedOn w:val="CharStyle11"/>
    <w:rPr>
      <w:lang w:val="ru-RU" w:eastAsia="ru-RU" w:bidi="ru-RU"/>
      <w:i/>
      <w:iCs/>
      <w:sz w:val="26"/>
      <w:szCs w:val="26"/>
      <w:w w:val="100"/>
      <w:spacing w:val="23"/>
      <w:color w:val="000000"/>
      <w:position w:val="0"/>
    </w:rPr>
  </w:style>
  <w:style w:type="character" w:customStyle="1" w:styleId="CharStyle14">
    <w:name w:val="Основной текст (7) + 13 pt,Не курсив,Интервал 1 pt Exact"/>
    <w:basedOn w:val="CharStyle11"/>
    <w:rPr>
      <w:lang w:val="en-US" w:eastAsia="en-US" w:bidi="en-US"/>
      <w:i/>
      <w:iCs/>
      <w:u w:val="single"/>
      <w:sz w:val="26"/>
      <w:szCs w:val="26"/>
      <w:w w:val="100"/>
      <w:spacing w:val="23"/>
      <w:color w:val="000000"/>
      <w:position w:val="0"/>
    </w:rPr>
  </w:style>
  <w:style w:type="character" w:customStyle="1" w:styleId="CharStyle16">
    <w:name w:val="Основной текст (2)_"/>
    <w:basedOn w:val="DefaultParagraphFont"/>
    <w:link w:val="Style15"/>
    <w:rPr>
      <w:b/>
      <w:bCs/>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2)"/>
    <w:basedOn w:val="CharStyle16"/>
    <w:rPr>
      <w:lang w:val="ru-RU" w:eastAsia="ru-RU" w:bidi="ru-RU"/>
      <w:w w:val="100"/>
      <w:spacing w:val="0"/>
      <w:color w:val="000000"/>
      <w:position w:val="0"/>
    </w:rPr>
  </w:style>
  <w:style w:type="character" w:customStyle="1" w:styleId="CharStyle18">
    <w:name w:val="Основной текст (3)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3) + 10 pt"/>
    <w:basedOn w:val="CharStyle18"/>
    <w:rPr>
      <w:lang w:val="ru-RU" w:eastAsia="ru-RU" w:bidi="ru-RU"/>
      <w:sz w:val="20"/>
      <w:szCs w:val="20"/>
      <w:w w:val="100"/>
      <w:spacing w:val="0"/>
      <w:color w:val="000000"/>
      <w:position w:val="0"/>
    </w:rPr>
  </w:style>
  <w:style w:type="character" w:customStyle="1" w:styleId="CharStyle21">
    <w:name w:val="Основной текст (4)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3">
    <w:name w:val="Основной текст (4)"/>
    <w:basedOn w:val="CharStyle21"/>
    <w:rPr>
      <w:lang w:val="ru-RU" w:eastAsia="ru-RU" w:bidi="ru-RU"/>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 11 pt"/>
    <w:basedOn w:val="CharStyle25"/>
    <w:rPr>
      <w:lang w:val="ru-RU" w:eastAsia="ru-RU" w:bidi="ru-RU"/>
      <w:sz w:val="22"/>
      <w:szCs w:val="22"/>
      <w:w w:val="100"/>
      <w:spacing w:val="0"/>
      <w:color w:val="000000"/>
      <w:position w:val="0"/>
    </w:rPr>
  </w:style>
  <w:style w:type="character" w:customStyle="1" w:styleId="CharStyle27">
    <w:name w:val="Основной текст + 11 pt"/>
    <w:basedOn w:val="CharStyle25"/>
    <w:rPr>
      <w:lang w:val="en-US" w:eastAsia="en-US" w:bidi="en-US"/>
      <w:u w:val="single"/>
      <w:sz w:val="22"/>
      <w:szCs w:val="22"/>
      <w:w w:val="100"/>
      <w:spacing w:val="0"/>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5)"/>
    <w:basedOn w:val="CharStyle29"/>
    <w:rPr>
      <w:lang w:val="en-US" w:eastAsia="en-US" w:bidi="en-US"/>
      <w:u w:val="single"/>
      <w:w w:val="100"/>
      <w:spacing w:val="0"/>
      <w:color w:val="000000"/>
      <w:position w:val="0"/>
    </w:rPr>
  </w:style>
  <w:style w:type="character" w:customStyle="1" w:styleId="CharStyle32">
    <w:name w:val="Заголовок №3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4">
    <w:name w:val="Основной текст (6)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6">
    <w:name w:val="Заголовок №1_"/>
    <w:basedOn w:val="DefaultParagraphFont"/>
    <w:link w:val="Style35"/>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38">
    <w:name w:val="Заголовок №2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w:basedOn w:val="CharStyle25"/>
    <w:rPr>
      <w:lang w:val="en-US" w:eastAsia="en-US" w:bidi="en-US"/>
      <w:u w:val="single"/>
      <w:w w:val="100"/>
      <w:spacing w:val="0"/>
      <w:color w:val="000000"/>
      <w:position w:val="0"/>
    </w:rPr>
  </w:style>
  <w:style w:type="character" w:customStyle="1" w:styleId="CharStyle40">
    <w:name w:val="Основной текст + 11,5 pt,Курсив"/>
    <w:basedOn w:val="CharStyle25"/>
    <w:rPr>
      <w:lang w:val="ru-RU" w:eastAsia="ru-RU" w:bidi="ru-RU"/>
      <w:i/>
      <w:iCs/>
      <w:sz w:val="23"/>
      <w:szCs w:val="23"/>
      <w:w w:val="100"/>
      <w:spacing w:val="0"/>
      <w:color w:val="000000"/>
      <w:position w:val="0"/>
    </w:rPr>
  </w:style>
  <w:style w:type="character" w:customStyle="1" w:styleId="CharStyle41">
    <w:name w:val="Основной текст (8)"/>
    <w:basedOn w:val="DefaultParagraphFont"/>
    <w:rPr>
      <w:b w:val="0"/>
      <w:bCs w:val="0"/>
      <w:i/>
      <w:iCs/>
      <w:u w:val="none"/>
      <w:strike w:val="0"/>
      <w:smallCaps w:val="0"/>
      <w:sz w:val="23"/>
      <w:szCs w:val="23"/>
      <w:rFonts w:ascii="Times New Roman" w:eastAsia="Times New Roman" w:hAnsi="Times New Roman" w:cs="Times New Roman"/>
    </w:rPr>
  </w:style>
  <w:style w:type="character" w:customStyle="1" w:styleId="CharStyle42">
    <w:name w:val="Основной текст (8) + 14 pt,Не курсив"/>
    <w:basedOn w:val="DefaultParagraphFont"/>
    <w:rPr>
      <w:b w:val="0"/>
      <w:bCs w:val="0"/>
      <w:i w:val="0"/>
      <w:iCs w:val="0"/>
      <w:u w:val="none"/>
      <w:strike w:val="0"/>
      <w:smallCaps w:val="0"/>
      <w:sz w:val="28"/>
      <w:szCs w:val="28"/>
      <w:rFonts w:ascii="Times New Roman" w:eastAsia="Times New Roman" w:hAnsi="Times New Roman" w:cs="Times New Roman"/>
    </w:rPr>
  </w:style>
  <w:style w:type="character" w:customStyle="1" w:styleId="CharStyle43">
    <w:name w:val="Основной текст + Arial,9,5 pt,Полужирный"/>
    <w:basedOn w:val="CharStyle25"/>
    <w:rPr>
      <w:lang w:val="ru-RU" w:eastAsia="ru-RU" w:bidi="ru-RU"/>
      <w:b/>
      <w:bCs/>
      <w:sz w:val="19"/>
      <w:szCs w:val="19"/>
      <w:rFonts w:ascii="Arial" w:eastAsia="Arial" w:hAnsi="Arial" w:cs="Arial"/>
      <w:w w:val="100"/>
      <w:spacing w:val="0"/>
      <w:color w:val="000000"/>
      <w:position w:val="0"/>
    </w:rPr>
  </w:style>
  <w:style w:type="character" w:customStyle="1" w:styleId="CharStyle44">
    <w:name w:val="Основной текст + 10 pt"/>
    <w:basedOn w:val="CharStyle25"/>
    <w:rPr>
      <w:lang w:val="ru-RU" w:eastAsia="ru-RU" w:bidi="ru-RU"/>
      <w:sz w:val="20"/>
      <w:szCs w:val="20"/>
      <w:w w:val="100"/>
      <w:spacing w:val="0"/>
      <w:color w:val="000000"/>
      <w:position w:val="0"/>
    </w:rPr>
  </w:style>
  <w:style w:type="character" w:customStyle="1" w:styleId="CharStyle45">
    <w:name w:val="Основной текст (6) + Не курсив"/>
    <w:basedOn w:val="CharStyle34"/>
    <w:rPr>
      <w:lang w:val="ru-RU" w:eastAsia="ru-RU" w:bidi="ru-RU"/>
      <w:i/>
      <w:iCs/>
      <w:w w:val="100"/>
      <w:spacing w:val="0"/>
      <w:color w:val="000000"/>
      <w:position w:val="0"/>
    </w:rPr>
  </w:style>
  <w:style w:type="character" w:customStyle="1" w:styleId="CharStyle46">
    <w:name w:val="Основной текст + 11 pt"/>
    <w:basedOn w:val="CharStyle25"/>
    <w:rPr>
      <w:lang w:val="ru-RU" w:eastAsia="ru-RU" w:bidi="ru-RU"/>
      <w:sz w:val="22"/>
      <w:szCs w:val="22"/>
      <w:w w:val="100"/>
      <w:spacing w:val="0"/>
      <w:color w:val="000000"/>
      <w:position w:val="0"/>
    </w:rPr>
  </w:style>
  <w:style w:type="character" w:customStyle="1" w:styleId="CharStyle47">
    <w:name w:val="Основной текст + 10,5 pt,Полужирный"/>
    <w:basedOn w:val="CharStyle25"/>
    <w:rPr>
      <w:lang w:val="ru-RU" w:eastAsia="ru-RU" w:bidi="ru-RU"/>
      <w:b/>
      <w:bCs/>
      <w:sz w:val="21"/>
      <w:szCs w:val="21"/>
      <w:w w:val="100"/>
      <w:spacing w:val="0"/>
      <w:color w:val="000000"/>
      <w:position w:val="0"/>
    </w:rPr>
  </w:style>
  <w:style w:type="character" w:customStyle="1" w:styleId="CharStyle48">
    <w:name w:val="Основной текст + 16 pt"/>
    <w:basedOn w:val="CharStyle25"/>
    <w:rPr>
      <w:lang w:val="ru-RU" w:eastAsia="ru-RU" w:bidi="ru-RU"/>
      <w:sz w:val="32"/>
      <w:szCs w:val="32"/>
      <w:w w:val="100"/>
      <w:spacing w:val="0"/>
      <w:color w:val="000000"/>
      <w:position w:val="0"/>
    </w:rPr>
  </w:style>
  <w:style w:type="character" w:customStyle="1" w:styleId="CharStyle49">
    <w:name w:val="Основной текст"/>
    <w:basedOn w:val="CharStyle25"/>
    <w:rPr>
      <w:lang w:val="ru-RU" w:eastAsia="ru-RU" w:bidi="ru-RU"/>
      <w:w w:val="100"/>
      <w:spacing w:val="0"/>
      <w:color w:val="000000"/>
      <w:position w:val="0"/>
    </w:rPr>
  </w:style>
  <w:style w:type="character" w:customStyle="1" w:styleId="CharStyle51">
    <w:name w:val="Основной текст (9)_"/>
    <w:basedOn w:val="DefaultParagraphFont"/>
    <w:link w:val="Style50"/>
    <w:rPr>
      <w:b w:val="0"/>
      <w:bCs w:val="0"/>
      <w:i w:val="0"/>
      <w:iCs w:val="0"/>
      <w:u w:val="none"/>
      <w:strike w:val="0"/>
      <w:smallCaps w:val="0"/>
      <w:sz w:val="32"/>
      <w:szCs w:val="32"/>
      <w:rFonts w:ascii="Times New Roman" w:eastAsia="Times New Roman" w:hAnsi="Times New Roman" w:cs="Times New Roman"/>
    </w:rPr>
  </w:style>
  <w:style w:type="character" w:customStyle="1" w:styleId="CharStyle53">
    <w:name w:val="Основной текст (10)_"/>
    <w:basedOn w:val="DefaultParagraphFont"/>
    <w:link w:val="Style52"/>
    <w:rPr>
      <w:b/>
      <w:bCs/>
      <w:i w:val="0"/>
      <w:iCs w:val="0"/>
      <w:u w:val="none"/>
      <w:strike w:val="0"/>
      <w:smallCaps w:val="0"/>
      <w:sz w:val="26"/>
      <w:szCs w:val="26"/>
      <w:rFonts w:ascii="Times New Roman" w:eastAsia="Times New Roman" w:hAnsi="Times New Roman" w:cs="Times New Roman"/>
    </w:rPr>
  </w:style>
  <w:style w:type="character" w:customStyle="1" w:styleId="CharStyle54">
    <w:name w:val="Основной текст Exact"/>
    <w:basedOn w:val="DefaultParagraphFont"/>
    <w:rPr>
      <w:b w:val="0"/>
      <w:bCs w:val="0"/>
      <w:i w:val="0"/>
      <w:iCs w:val="0"/>
      <w:u w:val="none"/>
      <w:strike w:val="0"/>
      <w:smallCaps w:val="0"/>
      <w:rFonts w:ascii="Times New Roman" w:eastAsia="Times New Roman" w:hAnsi="Times New Roman" w:cs="Times New Roman"/>
      <w:spacing w:val="5"/>
    </w:rPr>
  </w:style>
  <w:style w:type="paragraph" w:customStyle="1" w:styleId="Style3">
    <w:name w:val="Основной текст (3)"/>
    <w:basedOn w:val="Normal"/>
    <w:link w:val="CharStyle18"/>
    <w:pPr>
      <w:widowControl w:val="0"/>
      <w:shd w:val="clear" w:color="auto" w:fill="FFFFFF"/>
      <w:jc w:val="right"/>
      <w:spacing w:before="60" w:after="24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4)"/>
    <w:basedOn w:val="Normal"/>
    <w:link w:val="CharStyle21"/>
    <w:pPr>
      <w:widowControl w:val="0"/>
      <w:shd w:val="clear" w:color="auto" w:fill="FFFFFF"/>
      <w:spacing w:before="240" w:after="360" w:line="240" w:lineRule="exact"/>
      <w:ind w:hanging="500"/>
    </w:pPr>
    <w:rPr>
      <w:b w:val="0"/>
      <w:bCs w:val="0"/>
      <w:i w:val="0"/>
      <w:iCs w:val="0"/>
      <w:u w:val="none"/>
      <w:strike w:val="0"/>
      <w:smallCaps w:val="0"/>
      <w:sz w:val="20"/>
      <w:szCs w:val="20"/>
      <w:rFonts w:ascii="Times New Roman" w:eastAsia="Times New Roman" w:hAnsi="Times New Roman" w:cs="Times New Roman"/>
    </w:rPr>
  </w:style>
  <w:style w:type="paragraph" w:customStyle="1" w:styleId="Style10">
    <w:name w:val="Основной текст (7)"/>
    <w:basedOn w:val="Normal"/>
    <w:link w:val="CharStyle11"/>
    <w:pPr>
      <w:widowControl w:val="0"/>
      <w:shd w:val="clear" w:color="auto" w:fill="FFFFFF"/>
      <w:jc w:val="center"/>
      <w:spacing w:before="120" w:after="360" w:line="0" w:lineRule="exact"/>
    </w:pPr>
    <w:rPr>
      <w:b w:val="0"/>
      <w:bCs w:val="0"/>
      <w:i/>
      <w:iCs/>
      <w:u w:val="none"/>
      <w:strike w:val="0"/>
      <w:smallCaps w:val="0"/>
      <w:sz w:val="34"/>
      <w:szCs w:val="34"/>
      <w:rFonts w:ascii="Times New Roman" w:eastAsia="Times New Roman" w:hAnsi="Times New Roman" w:cs="Times New Roman"/>
      <w:spacing w:val="10"/>
    </w:rPr>
  </w:style>
  <w:style w:type="paragraph" w:customStyle="1" w:styleId="Style15">
    <w:name w:val="Основной текст (2)"/>
    <w:basedOn w:val="Normal"/>
    <w:link w:val="CharStyle16"/>
    <w:pPr>
      <w:widowControl w:val="0"/>
      <w:shd w:val="clear" w:color="auto" w:fill="FFFFFF"/>
      <w:jc w:val="both"/>
      <w:spacing w:after="6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spacing w:before="360" w:after="2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Основной текст (5)"/>
    <w:basedOn w:val="Normal"/>
    <w:link w:val="CharStyle29"/>
    <w:pPr>
      <w:widowControl w:val="0"/>
      <w:shd w:val="clear" w:color="auto" w:fill="FFFFFF"/>
      <w:jc w:val="center"/>
      <w:spacing w:after="6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1">
    <w:name w:val="Заголовок №3"/>
    <w:basedOn w:val="Normal"/>
    <w:link w:val="CharStyle32"/>
    <w:pPr>
      <w:widowControl w:val="0"/>
      <w:shd w:val="clear" w:color="auto" w:fill="FFFFFF"/>
      <w:jc w:val="center"/>
      <w:outlineLvl w:val="2"/>
      <w:spacing w:before="66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Основной текст (6)"/>
    <w:basedOn w:val="Normal"/>
    <w:link w:val="CharStyle34"/>
    <w:pPr>
      <w:widowControl w:val="0"/>
      <w:shd w:val="clear" w:color="auto" w:fill="FFFFFF"/>
      <w:spacing w:before="240" w:after="6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35">
    <w:name w:val="Заголовок №1"/>
    <w:basedOn w:val="Normal"/>
    <w:link w:val="CharStyle36"/>
    <w:pPr>
      <w:widowControl w:val="0"/>
      <w:shd w:val="clear" w:color="auto" w:fill="FFFFFF"/>
      <w:outlineLvl w:val="0"/>
      <w:spacing w:before="1860" w:line="0" w:lineRule="exact"/>
    </w:pPr>
    <w:rPr>
      <w:b w:val="0"/>
      <w:bCs w:val="0"/>
      <w:i w:val="0"/>
      <w:iCs w:val="0"/>
      <w:u w:val="none"/>
      <w:strike w:val="0"/>
      <w:smallCaps w:val="0"/>
      <w:sz w:val="36"/>
      <w:szCs w:val="36"/>
      <w:rFonts w:ascii="Times New Roman" w:eastAsia="Times New Roman" w:hAnsi="Times New Roman" w:cs="Times New Roman"/>
      <w:spacing w:val="30"/>
    </w:rPr>
  </w:style>
  <w:style w:type="paragraph" w:customStyle="1" w:styleId="Style37">
    <w:name w:val="Заголовок №2"/>
    <w:basedOn w:val="Normal"/>
    <w:link w:val="CharStyle38"/>
    <w:pPr>
      <w:widowControl w:val="0"/>
      <w:shd w:val="clear" w:color="auto" w:fill="FFFFFF"/>
      <w:outlineLvl w:val="1"/>
      <w:spacing w:before="24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50">
    <w:name w:val="Основной текст (9)"/>
    <w:basedOn w:val="Normal"/>
    <w:link w:val="CharStyle51"/>
    <w:pPr>
      <w:widowControl w:val="0"/>
      <w:shd w:val="clear" w:color="auto" w:fill="FFFFFF"/>
      <w:jc w:val="center"/>
      <w:spacing w:after="360"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52">
    <w:name w:val="Основной текст (10)"/>
    <w:basedOn w:val="Normal"/>
    <w:link w:val="CharStyle53"/>
    <w:pPr>
      <w:widowControl w:val="0"/>
      <w:shd w:val="clear" w:color="auto" w:fill="FFFFFF"/>
      <w:jc w:val="both"/>
      <w:spacing w:line="322" w:lineRule="exact"/>
      <w:ind w:firstLine="580"/>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