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50" w:wrap="around" w:hAnchor="margin" w:x="4708" w:y="1163"/>
        <w:widowControl w:val="0"/>
        <w:keepNext w:val="0"/>
        <w:keepLines w:val="0"/>
        <w:shd w:val="clear" w:color="auto" w:fill="auto"/>
        <w:bidi w:val="0"/>
        <w:jc w:val="left"/>
        <w:spacing w:before="0" w:after="0" w:line="230" w:lineRule="exact"/>
        <w:ind w:left="100" w:right="0" w:firstLine="0"/>
      </w:pPr>
      <w:r>
        <w:rPr>
          <w:rStyle w:val="CharStyle4"/>
          <w:spacing w:val="0"/>
        </w:rPr>
        <w:t>ГКУ Дирекция ДОНМ</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1" w:left="1342" w:right="7390" w:bottom="371" w:header="0" w:footer="3" w:gutter="0"/>
          <w:rtlGutter w:val="0"/>
          <w:cols w:space="720"/>
          <w:noEndnote/>
          <w:docGrid w:linePitch="360"/>
        </w:sectPr>
      </w:pPr>
      <w:r>
        <w:rPr>
          <w:rStyle w:val="CharStyle7"/>
          <w:b/>
          <w:bCs/>
        </w:rPr>
        <w:t>ФЕДЕРАЛЬНАЯ АНТИМОНОПОЛЬНАЯ СЛУЖБА</w:t>
      </w:r>
    </w:p>
    <w:p>
      <w:pPr>
        <w:widowControl w:val="0"/>
        <w:spacing w:line="168"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70" w:wrap="around" w:vAnchor="text" w:hAnchor="margin" w:x="-3887" w:y="57"/>
        <w:widowControl w:val="0"/>
        <w:keepNext w:val="0"/>
        <w:keepLines w:val="0"/>
        <w:shd w:val="clear" w:color="auto" w:fill="auto"/>
        <w:bidi w:val="0"/>
        <w:jc w:val="left"/>
        <w:spacing w:before="0" w:after="0" w:line="170" w:lineRule="exact"/>
        <w:ind w:left="0" w:right="0" w:firstLine="0"/>
      </w:pPr>
      <w:r>
        <w:rPr>
          <w:rStyle w:val="CharStyle9"/>
          <w:b/>
          <w:bCs/>
          <w:spacing w:val="0"/>
        </w:rPr>
        <w:t>УПРАВЛЕ</w:t>
      </w:r>
      <w:r>
        <w:rPr>
          <w:rStyle w:val="CharStyle10"/>
          <w:b/>
          <w:bCs/>
          <w:spacing w:val="0"/>
        </w:rPr>
        <w:t>НИЕ</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6147" w:right="1323" w:bottom="371" w:header="0" w:footer="3" w:gutter="0"/>
          <w:rtlGutter w:val="0"/>
          <w:cols w:space="720"/>
          <w:noEndnote/>
          <w:docGrid w:linePitch="360"/>
        </w:sectPr>
      </w:pPr>
      <w:r>
        <w:rPr>
          <w:lang w:val="ru-RU" w:eastAsia="ru-RU" w:bidi="ru-RU"/>
          <w:w w:val="100"/>
          <w:spacing w:val="0"/>
          <w:color w:val="000000"/>
          <w:position w:val="0"/>
        </w:rPr>
        <w:t>ул. Студенческая, д. 37, г. Москва,</w:t>
      </w:r>
    </w:p>
    <w:p>
      <w:pPr>
        <w:pStyle w:val="Style3"/>
        <w:framePr w:w="987" w:h="238" w:wrap="none" w:vAnchor="text" w:hAnchor="margin" w:x="5255"/>
        <w:widowControl w:val="0"/>
        <w:keepNext w:val="0"/>
        <w:keepLines w:val="0"/>
        <w:shd w:val="clear" w:color="auto" w:fill="auto"/>
        <w:bidi w:val="0"/>
        <w:jc w:val="left"/>
        <w:spacing w:before="0" w:after="0" w:line="230" w:lineRule="exact"/>
        <w:ind w:left="100" w:right="0" w:firstLine="0"/>
      </w:pPr>
      <w:r>
        <w:rPr>
          <w:rStyle w:val="CharStyle4"/>
          <w:spacing w:val="0"/>
        </w:rPr>
        <w:t>121165</w:t>
      </w:r>
    </w:p>
    <w:p>
      <w:pPr>
        <w:pStyle w:val="Style5"/>
        <w:framePr w:w="1285" w:h="170" w:wrap="none" w:vAnchor="text" w:hAnchor="margin" w:x="1473" w:y="201"/>
        <w:widowControl w:val="0"/>
        <w:keepNext w:val="0"/>
        <w:keepLines w:val="0"/>
        <w:shd w:val="clear" w:color="auto" w:fill="auto"/>
        <w:bidi w:val="0"/>
        <w:jc w:val="left"/>
        <w:spacing w:before="0" w:after="0" w:line="170" w:lineRule="exact"/>
        <w:ind w:left="100" w:right="0" w:firstLine="0"/>
      </w:pPr>
      <w:r>
        <w:rPr>
          <w:rStyle w:val="CharStyle9"/>
          <w:b/>
          <w:bCs/>
          <w:spacing w:val="0"/>
        </w:rPr>
        <w:t>по г. Москве</w:t>
      </w:r>
    </w:p>
    <w:p>
      <w:pPr>
        <w:pStyle w:val="Style12"/>
        <w:framePr w:w="3910" w:h="883" w:wrap="none" w:vAnchor="text" w:hAnchor="margin" w:x="153" w:y="568"/>
        <w:widowControl w:val="0"/>
        <w:keepNext w:val="0"/>
        <w:keepLines w:val="0"/>
        <w:shd w:val="clear" w:color="auto" w:fill="auto"/>
        <w:bidi w:val="0"/>
        <w:spacing w:before="0" w:after="0"/>
        <w:ind w:left="20" w:right="0" w:firstLine="0"/>
      </w:pPr>
      <w:r>
        <w:rPr>
          <w:rStyle w:val="CharStyle14"/>
          <w:spacing w:val="0"/>
        </w:rPr>
        <w:t xml:space="preserve">Мясницкий проезд, д.4, стр. 1 107078, г. Москва, тел. (495) 784-75-05, факс (495) 607-49-29 факс (495) 607-42-92, </w:t>
      </w:r>
      <w:r>
        <w:rPr>
          <w:rStyle w:val="CharStyle15"/>
          <w:spacing w:val="0"/>
        </w:rPr>
        <w:t>e-mail: to77@,fas.gov.ru</w:t>
      </w:r>
    </w:p>
    <w:p>
      <w:pPr>
        <w:pStyle w:val="Style3"/>
        <w:framePr w:w="4822" w:h="893" w:wrap="none" w:vAnchor="text" w:hAnchor="margin" w:x="5227" w:y="644"/>
        <w:widowControl w:val="0"/>
        <w:keepNext w:val="0"/>
        <w:keepLines w:val="0"/>
        <w:shd w:val="clear" w:color="auto" w:fill="auto"/>
        <w:bidi w:val="0"/>
        <w:jc w:val="left"/>
        <w:spacing w:before="0" w:after="387" w:line="230" w:lineRule="exact"/>
        <w:ind w:left="100" w:right="0" w:firstLine="0"/>
      </w:pPr>
      <w:r>
        <w:rPr>
          <w:rStyle w:val="CharStyle4"/>
          <w:spacing w:val="0"/>
        </w:rPr>
        <w:t>ООО «Ника»</w:t>
      </w:r>
    </w:p>
    <w:p>
      <w:pPr>
        <w:pStyle w:val="Style3"/>
        <w:framePr w:w="4822" w:h="893" w:wrap="none" w:vAnchor="text" w:hAnchor="margin" w:x="5227" w:y="644"/>
        <w:widowControl w:val="0"/>
        <w:keepNext w:val="0"/>
        <w:keepLines w:val="0"/>
        <w:shd w:val="clear" w:color="auto" w:fill="auto"/>
        <w:bidi w:val="0"/>
        <w:jc w:val="left"/>
        <w:spacing w:before="0" w:after="0" w:line="230" w:lineRule="exact"/>
        <w:ind w:left="100" w:right="0" w:firstLine="0"/>
      </w:pPr>
      <w:r>
        <w:rPr>
          <w:rStyle w:val="CharStyle4"/>
          <w:spacing w:val="0"/>
        </w:rPr>
        <w:t>ул. Мира, д.44/9, пом. 1В, г. Владимир,</w:t>
      </w:r>
    </w:p>
    <w:p>
      <w:pPr>
        <w:widowControl w:val="0"/>
        <w:spacing w:line="360" w:lineRule="exact"/>
      </w:pPr>
    </w:p>
    <w:p>
      <w:pPr>
        <w:widowControl w:val="0"/>
        <w:spacing w:line="360" w:lineRule="exact"/>
      </w:pPr>
    </w:p>
    <w:p>
      <w:pPr>
        <w:widowControl w:val="0"/>
        <w:spacing w:line="360" w:lineRule="exact"/>
      </w:pPr>
    </w:p>
    <w:p>
      <w:pPr>
        <w:widowControl w:val="0"/>
        <w:spacing w:line="448" w:lineRule="exact"/>
      </w:pPr>
    </w:p>
    <w:p>
      <w:pPr>
        <w:widowControl w:val="0"/>
        <w:rPr>
          <w:sz w:val="2"/>
          <w:szCs w:val="2"/>
        </w:rPr>
        <w:sectPr>
          <w:type w:val="continuous"/>
          <w:pgSz w:w="11906" w:h="16838"/>
          <w:pgMar w:top="5" w:left="824" w:right="824" w:bottom="5" w:header="0" w:footer="3" w:gutter="0"/>
          <w:rtlGutter w:val="0"/>
          <w:cols w:space="720"/>
          <w:noEndnote/>
          <w:docGrid w:linePitch="360"/>
        </w:sectPr>
      </w:pPr>
    </w:p>
    <w:p>
      <w:pPr>
        <w:pStyle w:val="Style16"/>
        <w:framePr w:h="170" w:wrap="around" w:vAnchor="text" w:hAnchor="margin" w:x="-3297" w:y="168"/>
        <w:widowControl w:val="0"/>
        <w:keepNext w:val="0"/>
        <w:keepLines w:val="0"/>
        <w:shd w:val="clear" w:color="auto" w:fill="auto"/>
        <w:bidi w:val="0"/>
        <w:jc w:val="left"/>
        <w:spacing w:before="0" w:after="0" w:line="170" w:lineRule="exact"/>
        <w:ind w:left="0" w:right="0" w:firstLine="0"/>
      </w:pPr>
      <w:r>
        <w:rPr>
          <w:rStyle w:val="CharStyle18"/>
        </w:rPr>
        <w:t>№</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6157" w:right="4635" w:bottom="371" w:header="0" w:footer="3" w:gutter="0"/>
          <w:rtlGutter w:val="0"/>
          <w:cols w:space="720"/>
          <w:noEndnote/>
          <w:docGrid w:linePitch="360"/>
        </w:sectPr>
      </w:pPr>
      <w:r>
        <w:rPr>
          <w:lang w:val="ru-RU" w:eastAsia="ru-RU" w:bidi="ru-RU"/>
          <w:w w:val="100"/>
          <w:spacing w:val="0"/>
          <w:color w:val="000000"/>
          <w:position w:val="0"/>
        </w:rPr>
        <w:t>600009</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110" w:wrap="around" w:vAnchor="text" w:hAnchor="margin" w:x="1891" w:y="47"/>
        <w:widowControl w:val="0"/>
        <w:keepNext w:val="0"/>
        <w:keepLines w:val="0"/>
        <w:shd w:val="clear" w:color="auto" w:fill="auto"/>
        <w:bidi w:val="0"/>
        <w:jc w:val="left"/>
        <w:spacing w:before="0" w:after="0" w:line="110" w:lineRule="exact"/>
        <w:ind w:left="100" w:right="0" w:firstLine="0"/>
      </w:pPr>
      <w:r>
        <w:rPr>
          <w:rStyle w:val="CharStyle21"/>
          <w:spacing w:val="0"/>
        </w:rPr>
        <w:t>ОТ</w:t>
      </w:r>
    </w:p>
    <w:p>
      <w:pPr>
        <w:pStyle w:val="Style22"/>
        <w:widowControl w:val="0"/>
        <w:keepNext w:val="0"/>
        <w:keepLines w:val="0"/>
        <w:shd w:val="clear" w:color="auto" w:fill="auto"/>
        <w:bidi w:val="0"/>
        <w:jc w:val="left"/>
        <w:spacing w:before="0" w:after="0" w:line="170" w:lineRule="exact"/>
        <w:ind w:left="0" w:right="0" w:firstLine="0"/>
        <w:sectPr>
          <w:type w:val="continuous"/>
          <w:pgSz w:w="11906" w:h="16838"/>
          <w:pgMar w:top="121" w:left="882" w:right="10386" w:bottom="371" w:header="0" w:footer="3" w:gutter="0"/>
          <w:rtlGutter w:val="0"/>
          <w:cols w:space="720"/>
          <w:noEndnote/>
          <w:docGrid w:linePitch="360"/>
        </w:sectPr>
      </w:pPr>
      <w:r>
        <w:rPr>
          <w:rStyle w:val="CharStyle24"/>
        </w:rPr>
        <w:t>На№</w:t>
      </w: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420" w:wrap="around" w:vAnchor="text" w:hAnchor="margin" w:x="-2178" w:y="-81"/>
        <w:widowControl w:val="0"/>
        <w:keepNext w:val="0"/>
        <w:keepLines w:val="0"/>
        <w:shd w:val="clear" w:color="auto" w:fill="auto"/>
        <w:bidi w:val="0"/>
        <w:jc w:val="left"/>
        <w:spacing w:before="0" w:after="0" w:line="420" w:lineRule="exact"/>
        <w:ind w:left="0" w:right="0" w:firstLine="0"/>
      </w:pPr>
      <w:r>
        <w:rPr>
          <w:rStyle w:val="CharStyle27"/>
          <w:b/>
          <w:bCs/>
        </w:rPr>
        <w:t>Г</w:t>
      </w:r>
    </w:p>
    <w:p>
      <w:pPr>
        <w:pStyle w:val="Style28"/>
        <w:widowControl w:val="0"/>
        <w:keepNext w:val="0"/>
        <w:keepLines w:val="0"/>
        <w:shd w:val="clear" w:color="auto" w:fill="auto"/>
        <w:bidi w:val="0"/>
        <w:jc w:val="left"/>
        <w:spacing w:before="0" w:after="634" w:line="380" w:lineRule="exact"/>
        <w:ind w:left="1620" w:right="0" w:firstLine="0"/>
      </w:pPr>
      <w:r>
        <w:rPr>
          <w:rStyle w:val="CharStyle30"/>
        </w:rPr>
        <w:t>П</w:t>
      </w:r>
    </w:p>
    <w:p>
      <w:pPr>
        <w:pStyle w:val="Style31"/>
        <w:widowControl w:val="0"/>
        <w:keepNext w:val="0"/>
        <w:keepLines w:val="0"/>
        <w:shd w:val="clear" w:color="auto" w:fill="auto"/>
        <w:bidi w:val="0"/>
        <w:spacing w:before="0" w:after="0"/>
        <w:ind w:left="0" w:right="0" w:firstLine="0"/>
        <w:sectPr>
          <w:type w:val="continuous"/>
          <w:pgSz w:w="11906" w:h="16838"/>
          <w:pgMar w:top="121" w:left="3051" w:right="2830" w:bottom="371" w:header="0" w:footer="3" w:gutter="0"/>
          <w:rtlGutter w:val="0"/>
          <w:cols w:space="720"/>
          <w:noEndnote/>
          <w:docGrid w:linePitch="360"/>
        </w:sectPr>
      </w:pPr>
      <w:r>
        <w:rPr>
          <w:lang w:val="ru-RU" w:eastAsia="ru-RU" w:bidi="ru-RU"/>
          <w:w w:val="100"/>
          <w:spacing w:val="0"/>
          <w:color w:val="000000"/>
          <w:position w:val="0"/>
        </w:rPr>
        <w:t>РЕШЕНИЕ по делу № 077/06/106-18928/2021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1"/>
        <w:framePr w:h="240" w:wrap="around" w:vAnchor="text" w:hAnchor="margin" w:x="8534" w:y="6"/>
        <w:widowControl w:val="0"/>
        <w:keepNext w:val="0"/>
        <w:keepLines w:val="0"/>
        <w:shd w:val="clear" w:color="auto" w:fill="auto"/>
        <w:bidi w:val="0"/>
        <w:jc w:val="left"/>
        <w:spacing w:before="0" w:after="0" w:line="240" w:lineRule="exact"/>
        <w:ind w:left="100" w:right="0" w:firstLine="0"/>
      </w:pPr>
      <w:r>
        <w:rPr>
          <w:rStyle w:val="CharStyle33"/>
          <w:b/>
          <w:bCs/>
          <w:spacing w:val="0"/>
        </w:rPr>
        <w:t>Москва</w:t>
      </w:r>
    </w:p>
    <w:p>
      <w:pPr>
        <w:pStyle w:val="Style31"/>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25.10.2021</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tabs>
          <w:tab w:leader="none" w:pos="576" w:val="left"/>
        </w:tabs>
        <w:widowControl w:val="0"/>
        <w:keepNext w:val="0"/>
        <w:keepLines w:val="0"/>
        <w:shd w:val="clear" w:color="auto" w:fill="auto"/>
        <w:bidi w:val="0"/>
        <w:jc w:val="both"/>
        <w:spacing w:before="0" w:after="0" w:line="322" w:lineRule="exact"/>
        <w:ind w:left="0" w:right="20" w:firstLine="4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при участии представителя ГКУ Дирекция ДОНМ,</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отсутствие представителей ООО «Ника», о времени и порядке заседания Комиссии уведомлены письмом Московского УФАС России № ЕИ/664428/21 от 20.10.2021,</w:t>
      </w:r>
    </w:p>
    <w:p>
      <w:pPr>
        <w:pStyle w:val="Style3"/>
        <w:widowControl w:val="0"/>
        <w:keepNext w:val="0"/>
        <w:keepLines w:val="0"/>
        <w:shd w:val="clear" w:color="auto" w:fill="auto"/>
        <w:bidi w:val="0"/>
        <w:jc w:val="both"/>
        <w:spacing w:before="0" w:after="296" w:line="322" w:lineRule="exact"/>
        <w:ind w:left="0" w:right="20" w:firstLine="680"/>
      </w:pPr>
      <w:r>
        <w:rPr>
          <w:lang w:val="ru-RU" w:eastAsia="ru-RU" w:bidi="ru-RU"/>
          <w:w w:val="100"/>
          <w:spacing w:val="0"/>
          <w:color w:val="000000"/>
          <w:position w:val="0"/>
        </w:rPr>
        <w:t>рассмотрев жалобу ООО «Ника» (далее — Заявитель) на действия ГКУ Дирекция ДОНМ (далее — Заказчик) при проведении электронного аукциона на право заключения государственного контракта на поставку мебели (стулья ученические) для ГКОУ в 2021 году (среди СМП и СОНО) (Закупка № 0873500000821005323) (далее — Аукцион), в соответствии с Федеральным</w:t>
      </w:r>
    </w:p>
    <w:p>
      <w:pPr>
        <w:pStyle w:val="Style34"/>
        <w:widowControl w:val="0"/>
        <w:keepNext w:val="0"/>
        <w:keepLines w:val="0"/>
        <w:shd w:val="clear" w:color="auto" w:fill="auto"/>
        <w:bidi w:val="0"/>
        <w:jc w:val="left"/>
        <w:spacing w:before="0" w:after="0" w:line="240" w:lineRule="auto"/>
        <w:ind w:left="0" w:right="0" w:firstLine="0"/>
        <w:sectPr>
          <w:type w:val="continuous"/>
          <w:pgSz w:w="11906" w:h="16838"/>
          <w:pgMar w:top="121" w:left="848" w:right="848" w:bottom="371" w:header="0" w:footer="3" w:gutter="0"/>
          <w:rtlGutter w:val="0"/>
          <w:cols w:space="720"/>
          <w:noEndnote/>
          <w:docGrid w:linePitch="360"/>
        </w:sectPr>
      </w:pPr>
      <w:r>
        <w:rPr>
          <w:w w:val="100"/>
          <w:spacing w:val="0"/>
          <w:color w:val="000000"/>
          <w:position w:val="0"/>
        </w:rPr>
        <w:t>000349140349</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36"/>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tabs>
          <w:tab w:leader="none" w:pos="807"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 ЕИ/664428/21 от 20.10.2021, а именно, Заказчиком не представлены следующие документы: приказ (иной акт) со всеми изменениями о создании Комиссии, действующей при проведении закупки; положение (иной акт), устанавливающий полномочия и обязанности членов Комиссии, действующей при проведении закупки; сведения о членах Комиссии, действующей при 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 ввиду чего, в действиях Заказчика усматриваются признаки состава административного правонарушения, ответственность за которое предусмотрена ч.1</w:t>
        <w:tab/>
        <w:t>ст.19.7.2 Кодекса Российской Федерации об административных</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правонарушениях.</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протоколу подведения итогов электронного аукциона от 15.10.2021 №0873500000821005323-3 заявка ООО «Ника» признана несоответствующей требованиям аукционной документации на следующем основании : «Отклонить на основании п.3 ч.6 ст.69 44-ФЗ - не соблюдение требования п.10 постановления Правительства РФ от 30.04.2020г. №616: в составе заявки на участие в закупке предоставленные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РФ, если такое предусмотрено постановлением Правительства РФ от 17.07.2015г. № 719 не соответствуют ГОСТ 11016-93».</w:t>
      </w:r>
    </w:p>
    <w:p>
      <w:pPr>
        <w:pStyle w:val="Style3"/>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Согласно п.2 ч.1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ч.3 ст.14 Закона о контрактной системе в целях з</w:t>
      </w:r>
      <w:r>
        <w:rPr>
          <w:rStyle w:val="CharStyle38"/>
        </w:rPr>
        <w:t>ащи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w:t>
      </w:r>
      <w:r>
        <w:rPr>
          <w:rStyle w:val="CharStyle38"/>
        </w:rPr>
        <w:t>ящи</w:t>
      </w:r>
      <w:r>
        <w:rPr>
          <w:lang w:val="ru-RU" w:eastAsia="ru-RU" w:bidi="ru-RU"/>
          <w:w w:val="100"/>
          <w:spacing w:val="0"/>
          <w:color w:val="000000"/>
          <w:position w:val="0"/>
        </w:rPr>
        <w:t>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Заказчиком в п.14.3 Информационной карты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Правительства Российской Федерации от 30 апреля 2020 г.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государства» (далее — постановление №616).</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ч.6 п.5 ст.66 Закона о контрактной системе вторая часть заявки на участие в электронном аукционе должна содержать, в том числе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Комиссией Управления установлено, что пп.6 п.18.2 Информационной карты аукционной документации определено, что вторая часть заявки участника закупки должна содержать: «Документы, предусмотренные нормативными правовыми актами, принятыми в соответствии со ст. 14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для Сформировано в Единой автоматизированной информационной системе торгов города Москвы подтверждения соответствия товара установленному запрету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 постановления №616 установлен запрет допуска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п.6 постановления №616 в целях реализации данного постановления:</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w:t>
      </w:r>
      <w:r>
        <w:rPr>
          <w:rStyle w:val="CharStyle38"/>
        </w:rPr>
        <w:t>кци</w:t>
      </w:r>
      <w:r>
        <w:rPr>
          <w:lang w:val="ru-RU" w:eastAsia="ru-RU" w:bidi="ru-RU"/>
          <w:w w:val="100"/>
          <w:spacing w:val="0"/>
          <w:color w:val="000000"/>
          <w:position w:val="0"/>
        </w:rPr>
        <w:t>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3"/>
        <w:tabs>
          <w:tab w:leader="none" w:pos="10182" w:val="righ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отмечает, что в соответствии с извещением о проведении электронного аукциона от 30.09.2021</w:t>
        <w:tab/>
        <w:t>№0873500000821005323</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объектом закупки является «Стул ученический» с кодом по Общероссийскому классификатору продукции по видам экономической деятельности (далее - ОКПД2) 31.01.11.150 «Мебель для сидения, преимущественно с металлическим каркасом», который входит в подгруппу ОКПД2 31.01.1 «Мебель для офисов и предприятий торговли», включенную в перечень промышленных товаров, утвержденный Постановлением №616.</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На заседании Комиссии Управления представитель Заказчика пояснил, что заявка Заявителя признана не соответствующей требованиям аукционной документации, поскольку в составе второй части заявки участника ООО «Ника» присутствует выписка №980\57\2021 на товар который соответствует ТУ 31.01.12-001-20829663-2017, ГОСТ 16371-2014, ГОСТ </w:t>
      </w:r>
      <w:r>
        <w:rPr>
          <w:rStyle w:val="CharStyle39"/>
        </w:rPr>
        <w:t>22046</w:t>
      </w:r>
      <w:r>
        <w:rPr>
          <w:rStyle w:val="CharStyle40"/>
        </w:rPr>
        <w:t>-</w:t>
      </w:r>
      <w:r>
        <w:rPr>
          <w:rStyle w:val="CharStyle41"/>
        </w:rPr>
        <w:t>2002</w:t>
      </w:r>
      <w:r>
        <w:rPr>
          <w:rStyle w:val="CharStyle42"/>
        </w:rPr>
        <w:t>,</w:t>
      </w:r>
      <w:r>
        <w:rPr>
          <w:rStyle w:val="CharStyle43"/>
        </w:rPr>
        <w:t xml:space="preserve"> </w:t>
      </w:r>
      <w:r>
        <w:rPr>
          <w:lang w:val="ru-RU" w:eastAsia="ru-RU" w:bidi="ru-RU"/>
          <w:w w:val="100"/>
          <w:spacing w:val="0"/>
          <w:color w:val="000000"/>
          <w:position w:val="0"/>
        </w:rPr>
        <w:t>в то время как документацией о закупке установлено требование о соответствии товара ГОСТ 22046-</w:t>
      </w:r>
      <w:r>
        <w:rPr>
          <w:rStyle w:val="CharStyle44"/>
        </w:rPr>
        <w:t>2016</w:t>
      </w:r>
      <w:r>
        <w:rPr>
          <w:rStyle w:val="CharStyle43"/>
        </w:rPr>
        <w:t xml:space="preserve"> </w:t>
      </w:r>
      <w:r>
        <w:rPr>
          <w:lang w:val="ru-RU" w:eastAsia="ru-RU" w:bidi="ru-RU"/>
          <w:w w:val="100"/>
          <w:spacing w:val="0"/>
          <w:color w:val="000000"/>
          <w:position w:val="0"/>
        </w:rPr>
        <w:t>«Мебель для учебных заведений. Общие технические условия», который в свою очередь соответствует ГОСТ11016-93 «Стулья ученические. Типы и функциональные размеры». По мнению представителя Заказчика представление выписки №980\57\2021, содержащей указание на недействительный ГОСТ, и, соответственно, указание такой выписки в проекте контракта, может повлечь за собой возможность поставки продукции не соответствующей требованиям действующего ГОСТ.</w:t>
      </w:r>
    </w:p>
    <w:p>
      <w:pPr>
        <w:pStyle w:val="Style3"/>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а также в составе жалобы Заявителем, не представлено документов и сведений свидетельствующих о соответствии представленного к поставке товара требованиям ГОСТ11016-93 «Стулья ученические. Типы и функциональные размеры».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Заявителем не представлено документов и сведений, подтверждающих обоснованность вышеуказанных доводов жалобы, а также свидетельствующих о нарушении Заказчиком норм Закона о контрактной системе. 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2 и 2.1 (при наличии таких требований) ст.31 Закона о контрактной системе;</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ч.6 ст.69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Закона о контрактной системе, а также п.6 ч.5 ст.66 Закона о контрактной системе, за исключением случая закупки товаров, работ, услуг, в отношении которых установлен запрет, предусмотренный ст.14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82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в части признания заявки ООО «Ника» не соответствующей требованиям аукционной документации является правомерным и не противоречит требованиям Закона о контрактной системе.</w:t>
      </w:r>
    </w:p>
    <w:p>
      <w:pPr>
        <w:pStyle w:val="Style3"/>
        <w:widowControl w:val="0"/>
        <w:keepNext w:val="0"/>
        <w:keepLines w:val="0"/>
        <w:shd w:val="clear" w:color="auto" w:fill="auto"/>
        <w:bidi w:val="0"/>
        <w:jc w:val="left"/>
        <w:spacing w:before="0" w:after="0" w:line="322" w:lineRule="exact"/>
        <w:ind w:left="20" w:right="20" w:firstLine="2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36"/>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Признать жалобу ООО «Ника» на действия аукционной комиссии ГКУ Дирекция ДОНМ необоснованной.</w:t>
      </w:r>
    </w:p>
    <w:p>
      <w:pPr>
        <w:pStyle w:val="Style3"/>
        <w:numPr>
          <w:ilvl w:val="0"/>
          <w:numId w:val="3"/>
        </w:numPr>
        <w:widowControl w:val="0"/>
        <w:keepNext w:val="0"/>
        <w:keepLines w:val="0"/>
        <w:shd w:val="clear" w:color="auto" w:fill="auto"/>
        <w:bidi w:val="0"/>
        <w:jc w:val="both"/>
        <w:spacing w:before="0" w:after="300" w:line="322" w:lineRule="exact"/>
        <w:ind w:left="0" w:right="20" w:firstLine="74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 ЕИ/664428/21 от 20.10.2021).</w:t>
      </w:r>
    </w:p>
    <w:p>
      <w:pPr>
        <w:pStyle w:val="Style3"/>
        <w:widowControl w:val="0"/>
        <w:keepNext w:val="0"/>
        <w:keepLines w:val="0"/>
        <w:shd w:val="clear" w:color="auto" w:fill="auto"/>
        <w:bidi w:val="0"/>
        <w:jc w:val="both"/>
        <w:spacing w:before="0" w:after="47" w:line="322"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1936" w:h="1291" w:vSpace="316" w:wrap="around" w:vAnchor="text" w:hAnchor="margin" w:x="8229" w:y="-320"/>
        <w:widowControl w:val="0"/>
        <w:keepNext w:val="0"/>
        <w:keepLines w:val="0"/>
        <w:shd w:val="clear" w:color="auto" w:fill="auto"/>
        <w:bidi w:val="0"/>
        <w:jc w:val="right"/>
        <w:spacing w:before="0" w:after="0" w:line="648" w:lineRule="exact"/>
        <w:ind w:left="100" w:right="0" w:firstLine="0"/>
      </w:pPr>
      <w:r>
        <w:rPr>
          <w:rStyle w:val="CharStyle4"/>
          <w:spacing w:val="0"/>
        </w:rPr>
        <w:t>Е.А. Миронова А.З. Касимова</w:t>
      </w:r>
    </w:p>
    <w:p>
      <w:pPr>
        <w:pStyle w:val="Style3"/>
        <w:widowControl w:val="0"/>
        <w:keepNext w:val="0"/>
        <w:keepLines w:val="0"/>
        <w:shd w:val="clear" w:color="auto" w:fill="auto"/>
        <w:bidi w:val="0"/>
        <w:jc w:val="left"/>
        <w:spacing w:before="0" w:after="0" w:line="638" w:lineRule="exact"/>
        <w:ind w:left="0" w:right="3820" w:firstLine="0"/>
      </w:pPr>
      <w:r>
        <w:rPr>
          <w:lang w:val="ru-RU" w:eastAsia="ru-RU" w:bidi="ru-RU"/>
          <w:w w:val="100"/>
          <w:spacing w:val="0"/>
          <w:color w:val="000000"/>
          <w:position w:val="0"/>
        </w:rPr>
        <w:t>Заместитель председателя Комиссии Члены Комиссии</w:t>
      </w:r>
    </w:p>
    <w:p>
      <w:pPr>
        <w:pStyle w:val="Style3"/>
        <w:widowControl w:val="0"/>
        <w:keepNext w:val="0"/>
        <w:keepLines w:val="0"/>
        <w:shd w:val="clear" w:color="auto" w:fill="auto"/>
        <w:bidi w:val="0"/>
        <w:jc w:val="right"/>
        <w:spacing w:before="0" w:after="6351" w:line="638" w:lineRule="exact"/>
        <w:ind w:left="0" w:right="20" w:firstLine="0"/>
      </w:pPr>
      <w:r>
        <w:rPr>
          <w:lang w:val="ru-RU" w:eastAsia="ru-RU" w:bidi="ru-RU"/>
          <w:w w:val="100"/>
          <w:spacing w:val="0"/>
          <w:color w:val="000000"/>
          <w:position w:val="0"/>
        </w:rPr>
        <w:t>А.А. Матюшенко</w:t>
      </w:r>
    </w:p>
    <w:p>
      <w:pPr>
        <w:pStyle w:val="Style45"/>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Исп. Матюшенко А.А., 8(495) 784-75-05</w:t>
      </w:r>
    </w:p>
    <w:sectPr>
      <w:pgSz w:w="11906" w:h="16838"/>
      <w:pgMar w:top="1262" w:left="849" w:right="837" w:bottom="11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2) Exact"/>
    <w:basedOn w:val="CharStyle6"/>
    <w:rPr>
      <w:lang w:val="ru-RU" w:eastAsia="ru-RU" w:bidi="ru-RU"/>
      <w:sz w:val="17"/>
      <w:szCs w:val="17"/>
      <w:w w:val="100"/>
      <w:spacing w:val="2"/>
      <w:color w:val="000000"/>
      <w:position w:val="0"/>
    </w:rPr>
  </w:style>
  <w:style w:type="character" w:customStyle="1" w:styleId="CharStyle10">
    <w:name w:val="Основной текст (2) Exact"/>
    <w:basedOn w:val="CharStyle6"/>
    <w:rPr>
      <w:lang w:val="ru-RU" w:eastAsia="ru-RU" w:bidi="ru-RU"/>
      <w:u w:val="single"/>
      <w:sz w:val="17"/>
      <w:szCs w:val="17"/>
      <w:w w:val="100"/>
      <w:spacing w:val="2"/>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 Exact"/>
    <w:basedOn w:val="DefaultParagraphFont"/>
    <w:link w:val="Style12"/>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4">
    <w:name w:val="Основной текст (3) Exact"/>
    <w:basedOn w:val="CharStyle13"/>
    <w:rPr>
      <w:lang w:val="ru-RU" w:eastAsia="ru-RU" w:bidi="ru-RU"/>
      <w:w w:val="100"/>
      <w:color w:val="000000"/>
      <w:position w:val="0"/>
    </w:rPr>
  </w:style>
  <w:style w:type="character" w:customStyle="1" w:styleId="CharStyle15">
    <w:name w:val="Основной текст (3) Exact"/>
    <w:basedOn w:val="CharStyle13"/>
    <w:rPr>
      <w:lang w:val="en-US" w:eastAsia="en-US" w:bidi="en-US"/>
      <w:u w:val="single"/>
      <w:w w:val="100"/>
      <w:color w:val="000000"/>
      <w:position w:val="0"/>
    </w:rPr>
  </w:style>
  <w:style w:type="character" w:customStyle="1" w:styleId="CharStyle17">
    <w:name w:val="Основной текст (4) Exact"/>
    <w:basedOn w:val="DefaultParagraphFont"/>
    <w:link w:val="Style16"/>
    <w:rPr>
      <w:b w:val="0"/>
      <w:bCs w:val="0"/>
      <w:i w:val="0"/>
      <w:iCs w:val="0"/>
      <w:u w:val="none"/>
      <w:strike w:val="0"/>
      <w:smallCaps w:val="0"/>
      <w:sz w:val="17"/>
      <w:szCs w:val="17"/>
      <w:rFonts w:ascii="Segoe UI" w:eastAsia="Segoe UI" w:hAnsi="Segoe UI" w:cs="Segoe UI"/>
    </w:rPr>
  </w:style>
  <w:style w:type="character" w:customStyle="1" w:styleId="CharStyle18">
    <w:name w:val="Основной текст (4) Exact"/>
    <w:basedOn w:val="CharStyle17"/>
    <w:rPr>
      <w:lang w:val="ru-RU" w:eastAsia="ru-RU" w:bidi="ru-RU"/>
      <w:w w:val="100"/>
      <w:spacing w:val="0"/>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1">
    <w:name w:val="Основной текст (6) Exact"/>
    <w:basedOn w:val="CharStyle20"/>
    <w:rPr>
      <w:lang w:val="ru-RU" w:eastAsia="ru-RU" w:bidi="ru-RU"/>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4">
    <w:name w:val="Основной текст (5)"/>
    <w:basedOn w:val="CharStyle23"/>
    <w:rPr>
      <w:lang w:val="ru-RU" w:eastAsia="ru-RU" w:bidi="ru-RU"/>
      <w:w w:val="100"/>
      <w:color w:val="000000"/>
      <w:position w:val="0"/>
    </w:rPr>
  </w:style>
  <w:style w:type="character" w:customStyle="1" w:styleId="CharStyle26">
    <w:name w:val="Основной текст (9) Exact"/>
    <w:basedOn w:val="DefaultParagraphFont"/>
    <w:link w:val="Style25"/>
    <w:rPr>
      <w:b/>
      <w:bCs/>
      <w:i w:val="0"/>
      <w:iCs w:val="0"/>
      <w:u w:val="none"/>
      <w:strike w:val="0"/>
      <w:smallCaps w:val="0"/>
      <w:sz w:val="42"/>
      <w:szCs w:val="42"/>
    </w:rPr>
  </w:style>
  <w:style w:type="character" w:customStyle="1" w:styleId="CharStyle27">
    <w:name w:val="Основной текст (9) Exact"/>
    <w:basedOn w:val="CharStyle26"/>
    <w:rPr>
      <w:lang w:val="ru-RU" w:eastAsia="ru-RU" w:bidi="ru-RU"/>
      <w:rFonts w:ascii="Courier New" w:eastAsia="Courier New" w:hAnsi="Courier New" w:cs="Courier New"/>
      <w:w w:val="100"/>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38"/>
      <w:szCs w:val="38"/>
      <w:rFonts w:ascii="Times New Roman" w:eastAsia="Times New Roman" w:hAnsi="Times New Roman" w:cs="Times New Roman"/>
    </w:rPr>
  </w:style>
  <w:style w:type="character" w:customStyle="1" w:styleId="CharStyle30">
    <w:name w:val="Основной текст (7)"/>
    <w:basedOn w:val="CharStyle29"/>
    <w:rPr>
      <w:lang w:val="ru-RU" w:eastAsia="ru-RU" w:bidi="ru-RU"/>
      <w:w w:val="100"/>
      <w:spacing w:val="0"/>
      <w:color w:val="000000"/>
      <w:position w:val="0"/>
    </w:rPr>
  </w:style>
  <w:style w:type="character" w:customStyle="1" w:styleId="CharStyle32">
    <w:name w:val="Основной текст (8)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8)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5">
    <w:name w:val="Штрих-код (2)_"/>
    <w:basedOn w:val="DefaultParagraphFont"/>
    <w:link w:val="Style3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7">
    <w:name w:val="Заголовок №1_"/>
    <w:basedOn w:val="DefaultParagraphFont"/>
    <w:link w:val="Style36"/>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w:basedOn w:val="CharStyle11"/>
    <w:rPr>
      <w:lang w:val="ru-RU" w:eastAsia="ru-RU" w:bidi="ru-RU"/>
      <w:u w:val="single"/>
      <w:w w:val="100"/>
      <w:spacing w:val="0"/>
      <w:color w:val="000000"/>
      <w:position w:val="0"/>
    </w:rPr>
  </w:style>
  <w:style w:type="character" w:customStyle="1" w:styleId="CharStyle39">
    <w:name w:val="Основной текст + Курсив"/>
    <w:basedOn w:val="CharStyle11"/>
    <w:rPr>
      <w:lang w:val="ru-RU" w:eastAsia="ru-RU" w:bidi="ru-RU"/>
      <w:i/>
      <w:iCs/>
      <w:w w:val="100"/>
      <w:spacing w:val="0"/>
      <w:color w:val="000000"/>
      <w:position w:val="0"/>
    </w:rPr>
  </w:style>
  <w:style w:type="character" w:customStyle="1" w:styleId="CharStyle40">
    <w:name w:val="Основной текст + 4 pt,Курсив"/>
    <w:basedOn w:val="CharStyle11"/>
    <w:rPr>
      <w:lang w:val="ru-RU" w:eastAsia="ru-RU" w:bidi="ru-RU"/>
      <w:i/>
      <w:iCs/>
      <w:sz w:val="8"/>
      <w:szCs w:val="8"/>
      <w:w w:val="100"/>
      <w:spacing w:val="0"/>
      <w:color w:val="000000"/>
      <w:position w:val="0"/>
    </w:rPr>
  </w:style>
  <w:style w:type="character" w:customStyle="1" w:styleId="CharStyle41">
    <w:name w:val="Основной текст + Полужирный,Курсив"/>
    <w:basedOn w:val="CharStyle11"/>
    <w:rPr>
      <w:lang w:val="ru-RU" w:eastAsia="ru-RU" w:bidi="ru-RU"/>
      <w:b/>
      <w:bCs/>
      <w:i/>
      <w:iCs/>
      <w:w w:val="100"/>
      <w:spacing w:val="0"/>
      <w:color w:val="000000"/>
      <w:position w:val="0"/>
    </w:rPr>
  </w:style>
  <w:style w:type="character" w:customStyle="1" w:styleId="CharStyle42">
    <w:name w:val="Основной текст + 11 pt,Полужирный,Курсив"/>
    <w:basedOn w:val="CharStyle11"/>
    <w:rPr>
      <w:lang w:val="ru-RU" w:eastAsia="ru-RU" w:bidi="ru-RU"/>
      <w:b/>
      <w:bCs/>
      <w:i/>
      <w:iCs/>
      <w:sz w:val="22"/>
      <w:szCs w:val="22"/>
      <w:w w:val="100"/>
      <w:spacing w:val="0"/>
      <w:color w:val="000000"/>
      <w:position w:val="0"/>
    </w:rPr>
  </w:style>
  <w:style w:type="character" w:customStyle="1" w:styleId="CharStyle43">
    <w:name w:val="Основной текст"/>
    <w:basedOn w:val="CharStyle11"/>
    <w:rPr>
      <w:lang w:val="ru-RU" w:eastAsia="ru-RU" w:bidi="ru-RU"/>
      <w:w w:val="100"/>
      <w:spacing w:val="0"/>
      <w:color w:val="000000"/>
      <w:position w:val="0"/>
    </w:rPr>
  </w:style>
  <w:style w:type="character" w:customStyle="1" w:styleId="CharStyle44">
    <w:name w:val="Основной текст + Полужирный"/>
    <w:basedOn w:val="CharStyle11"/>
    <w:rPr>
      <w:lang w:val="ru-RU" w:eastAsia="ru-RU" w:bidi="ru-RU"/>
      <w:b/>
      <w:bCs/>
      <w:w w:val="100"/>
      <w:spacing w:val="0"/>
      <w:color w:val="000000"/>
      <w:position w:val="0"/>
    </w:rPr>
  </w:style>
  <w:style w:type="character" w:customStyle="1" w:styleId="CharStyle46">
    <w:name w:val="Основной текст (10)_"/>
    <w:basedOn w:val="DefaultParagraphFont"/>
    <w:link w:val="Style45"/>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6">
    <w:name w:val="Основной текст (4)"/>
    <w:basedOn w:val="Normal"/>
    <w:link w:val="CharStyle17"/>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2">
    <w:name w:val="Основной текст (5)"/>
    <w:basedOn w:val="Normal"/>
    <w:link w:val="CharStyle23"/>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5">
    <w:name w:val="Основной текст (9)"/>
    <w:basedOn w:val="Normal"/>
    <w:link w:val="CharStyle26"/>
    <w:pPr>
      <w:widowControl w:val="0"/>
      <w:shd w:val="clear" w:color="auto" w:fill="FFFFFF"/>
      <w:spacing w:line="0" w:lineRule="exact"/>
    </w:pPr>
    <w:rPr>
      <w:b/>
      <w:bCs/>
      <w:i w:val="0"/>
      <w:iCs w:val="0"/>
      <w:u w:val="none"/>
      <w:strike w:val="0"/>
      <w:smallCaps w:val="0"/>
      <w:sz w:val="42"/>
      <w:szCs w:val="42"/>
    </w:rPr>
  </w:style>
  <w:style w:type="paragraph" w:customStyle="1" w:styleId="Style28">
    <w:name w:val="Основной текст (7)"/>
    <w:basedOn w:val="Normal"/>
    <w:link w:val="CharStyle29"/>
    <w:pPr>
      <w:widowControl w:val="0"/>
      <w:shd w:val="clear" w:color="auto" w:fill="FFFFFF"/>
      <w:spacing w:after="780"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Штрих-код (2)"/>
    <w:basedOn w:val="Normal"/>
    <w:link w:val="CharStyle3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spacing w:before="600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