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96" w:after="143"/>
        <w:ind w:left="0" w:right="20" w:firstLine="0"/>
      </w:pPr>
      <w:r>
        <w:rPr>
          <w:lang w:val="ru-RU" w:eastAsia="ru-RU" w:bidi="ru-RU"/>
          <w:sz w:val="24"/>
          <w:szCs w:val="24"/>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59" w:lineRule="exact"/>
        <w:ind w:left="0" w:right="20" w:firstLine="0"/>
      </w:pPr>
      <w:r>
        <w:rPr>
          <w:lang w:val="ru-RU" w:eastAsia="ru-RU" w:bidi="ru-RU"/>
          <w:sz w:val="24"/>
          <w:szCs w:val="24"/>
          <w:w w:val="100"/>
          <w:spacing w:val="0"/>
          <w:color w:val="000000"/>
          <w:position w:val="0"/>
        </w:rPr>
        <w:t>УПРАВЛЕНИЕ Федеральной антимонопольной службы по Санкт-Петербургу</w:t>
      </w:r>
    </w:p>
    <w:p>
      <w:pPr>
        <w:pStyle w:val="Style5"/>
        <w:widowControl w:val="0"/>
        <w:keepNext w:val="0"/>
        <w:keepLines w:val="0"/>
        <w:shd w:val="clear" w:color="auto" w:fill="auto"/>
        <w:bidi w:val="0"/>
        <w:spacing w:before="0" w:after="136"/>
        <w:ind w:left="0" w:right="20" w:firstLine="0"/>
      </w:pPr>
      <w:r>
        <w:rPr>
          <w:lang w:val="ru-RU" w:eastAsia="ru-RU" w:bidi="ru-RU"/>
          <w:w w:val="100"/>
          <w:spacing w:val="0"/>
          <w:color w:val="000000"/>
          <w:position w:val="0"/>
        </w:rPr>
        <w:t xml:space="preserve">Адрес: Васильевский остров, 4-я линия, д. 13, лит. А, г. Санкт-Петербург, 199004 тел. (812) 3131-04-30, факс (812) 313-04-15 </w:t>
      </w:r>
      <w:r>
        <w:rPr>
          <w:lang w:val="en-US" w:eastAsia="en-US" w:bidi="en-US"/>
          <w:w w:val="100"/>
          <w:spacing w:val="0"/>
          <w:color w:val="000000"/>
          <w:position w:val="0"/>
        </w:rPr>
        <w:t xml:space="preserve">e-mail: </w:t>
      </w:r>
      <w:r>
        <w:fldChar w:fldCharType="begin"/>
      </w:r>
      <w:r>
        <w:rPr>
          <w:color w:val="000000"/>
        </w:rPr>
        <w:instrText> HYPERLINK "mailto:to78@fas.gov.ru" </w:instrText>
      </w:r>
      <w:r>
        <w:fldChar w:fldCharType="separate"/>
      </w:r>
      <w:r>
        <w:rPr>
          <w:rStyle w:val="Hyperlink"/>
          <w:lang w:val="en-US" w:eastAsia="en-US" w:bidi="en-US"/>
          <w:w w:val="100"/>
          <w:spacing w:val="0"/>
          <w:position w:val="0"/>
        </w:rPr>
        <w:t>to78@fas.gov.ru</w:t>
      </w:r>
      <w:r>
        <w:fldChar w:fldCharType="end"/>
      </w:r>
    </w:p>
    <w:p>
      <w:pPr>
        <w:pStyle w:val="Style7"/>
        <w:widowControl w:val="0"/>
        <w:keepNext w:val="0"/>
        <w:keepLines w:val="0"/>
        <w:shd w:val="clear" w:color="auto" w:fill="auto"/>
        <w:bidi w:val="0"/>
        <w:jc w:val="left"/>
        <w:spacing w:before="0" w:after="0"/>
        <w:ind w:left="2580" w:right="520"/>
      </w:pPr>
      <w:r>
        <w:rPr>
          <w:lang w:val="ru-RU" w:eastAsia="ru-RU" w:bidi="ru-RU"/>
          <w:w w:val="100"/>
          <w:spacing w:val="0"/>
          <w:color w:val="000000"/>
          <w:position w:val="0"/>
        </w:rPr>
        <w:t>СПб УФАС России № 78.00559^2'1 от 28.10.2021</w:t>
      </w:r>
    </w:p>
    <w:p>
      <w:pPr>
        <w:pStyle w:val="Style9"/>
        <w:widowControl w:val="0"/>
        <w:keepNext w:val="0"/>
        <w:keepLines w:val="0"/>
        <w:shd w:val="clear" w:color="auto" w:fill="auto"/>
        <w:bidi w:val="0"/>
        <w:jc w:val="left"/>
        <w:spacing w:before="0" w:after="0" w:line="180" w:lineRule="exact"/>
        <w:ind w:left="20" w:right="0" w:firstLine="0"/>
      </w:pPr>
      <w:r>
        <w:rPr>
          <w:lang w:val="ru-RU" w:eastAsia="ru-RU" w:bidi="ru-RU"/>
          <w:w w:val="100"/>
          <w:spacing w:val="0"/>
          <w:color w:val="000000"/>
          <w:position w:val="0"/>
        </w:rPr>
        <w:t>На №</w:t>
      </w:r>
    </w:p>
    <w:p>
      <w:pPr>
        <w:pStyle w:val="Style1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000034145822</w:t>
      </w:r>
    </w:p>
    <w:p>
      <w:pPr>
        <w:pStyle w:val="Style13"/>
        <w:widowControl w:val="0"/>
        <w:keepNext w:val="0"/>
        <w:keepLines w:val="0"/>
        <w:shd w:val="clear" w:color="auto" w:fill="auto"/>
        <w:bidi w:val="0"/>
        <w:jc w:val="left"/>
        <w:spacing w:before="0" w:after="229"/>
        <w:ind w:left="20" w:right="400" w:firstLine="0"/>
      </w:pPr>
      <w:r>
        <w:rPr>
          <w:lang w:val="ru-RU" w:eastAsia="ru-RU" w:bidi="ru-RU"/>
          <w:sz w:val="24"/>
          <w:szCs w:val="24"/>
          <w:w w:val="100"/>
          <w:spacing w:val="0"/>
          <w:color w:val="000000"/>
          <w:position w:val="0"/>
        </w:rPr>
        <w:t>Заявитель ООО «ВАККО»</w:t>
      </w:r>
    </w:p>
    <w:p>
      <w:pPr>
        <w:pStyle w:val="Style1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Алтуфьевское шоссе, д. 44, эт.9, пом. XV, ком. 14, г. Москва, 127566</w:t>
      </w:r>
    </w:p>
    <w:p>
      <w:pPr>
        <w:pStyle w:val="Style13"/>
        <w:widowControl w:val="0"/>
        <w:keepNext w:val="0"/>
        <w:keepLines w:val="0"/>
        <w:shd w:val="clear" w:color="auto" w:fill="auto"/>
        <w:bidi w:val="0"/>
        <w:jc w:val="left"/>
        <w:spacing w:before="0" w:after="302" w:line="317" w:lineRule="exact"/>
        <w:ind w:left="20" w:right="0" w:firstLine="0"/>
      </w:pPr>
      <w:r>
        <w:fldChar w:fldCharType="begin"/>
      </w:r>
      <w:r>
        <w:rPr>
          <w:color w:val="000000"/>
        </w:rPr>
        <w:instrText> HYPERLINK "mailto:ooo.vakko@gmail.com" </w:instrText>
      </w:r>
      <w:r>
        <w:fldChar w:fldCharType="separate"/>
      </w:r>
      <w:r>
        <w:rPr>
          <w:rStyle w:val="Hyperlink"/>
          <w:lang w:val="en-US" w:eastAsia="en-US" w:bidi="en-US"/>
          <w:sz w:val="24"/>
          <w:szCs w:val="24"/>
          <w:w w:val="100"/>
          <w:spacing w:val="0"/>
          <w:position w:val="0"/>
        </w:rPr>
        <w:t>ooo.vakko@gmail.com</w:t>
      </w:r>
      <w:r>
        <w:fldChar w:fldCharType="end"/>
      </w:r>
    </w:p>
    <w:p>
      <w:pPr>
        <w:pStyle w:val="Style13"/>
        <w:widowControl w:val="0"/>
        <w:keepNext w:val="0"/>
        <w:keepLines w:val="0"/>
        <w:shd w:val="clear" w:color="auto" w:fill="auto"/>
        <w:bidi w:val="0"/>
        <w:jc w:val="left"/>
        <w:spacing w:before="0" w:after="7" w:line="240" w:lineRule="exact"/>
        <w:ind w:left="20" w:right="0" w:firstLine="0"/>
      </w:pPr>
      <w:r>
        <w:rPr>
          <w:lang w:val="ru-RU" w:eastAsia="ru-RU" w:bidi="ru-RU"/>
          <w:sz w:val="24"/>
          <w:szCs w:val="24"/>
          <w:w w:val="100"/>
          <w:spacing w:val="0"/>
          <w:color w:val="000000"/>
          <w:position w:val="0"/>
        </w:rPr>
        <w:t>Организатор торгов</w:t>
      </w:r>
    </w:p>
    <w:p>
      <w:pPr>
        <w:pStyle w:val="Style13"/>
        <w:widowControl w:val="0"/>
        <w:keepNext w:val="0"/>
        <w:keepLines w:val="0"/>
        <w:shd w:val="clear" w:color="auto" w:fill="auto"/>
        <w:bidi w:val="0"/>
        <w:jc w:val="left"/>
        <w:spacing w:before="0" w:after="254" w:line="240" w:lineRule="exact"/>
        <w:ind w:left="20" w:right="0" w:firstLine="0"/>
      </w:pPr>
      <w:r>
        <w:rPr>
          <w:lang w:val="ru-RU" w:eastAsia="ru-RU" w:bidi="ru-RU"/>
          <w:sz w:val="24"/>
          <w:szCs w:val="24"/>
          <w:w w:val="100"/>
          <w:spacing w:val="0"/>
          <w:color w:val="000000"/>
          <w:position w:val="0"/>
        </w:rPr>
        <w:t>ФКУ «СЗОУМТС МВД России»</w:t>
      </w:r>
    </w:p>
    <w:p>
      <w:pPr>
        <w:pStyle w:val="Style13"/>
        <w:widowControl w:val="0"/>
        <w:keepNext w:val="0"/>
        <w:keepLines w:val="0"/>
        <w:shd w:val="clear" w:color="auto" w:fill="auto"/>
        <w:bidi w:val="0"/>
        <w:jc w:val="left"/>
        <w:spacing w:before="0" w:line="312" w:lineRule="exact"/>
        <w:ind w:left="20" w:right="0" w:firstLine="0"/>
      </w:pPr>
      <w:r>
        <w:rPr>
          <w:lang w:val="ru-RU" w:eastAsia="ru-RU" w:bidi="ru-RU"/>
          <w:sz w:val="24"/>
          <w:szCs w:val="24"/>
          <w:w w:val="100"/>
          <w:spacing w:val="0"/>
          <w:color w:val="000000"/>
          <w:position w:val="0"/>
        </w:rPr>
        <w:t xml:space="preserve">190031, Санкт-Петербург, ул. Казначейская, д. 11 </w:t>
      </w:r>
      <w:r>
        <w:fldChar w:fldCharType="begin"/>
      </w:r>
      <w:r>
        <w:rPr>
          <w:color w:val="000000"/>
        </w:rPr>
        <w:instrText> HYPERLINK "mailto:szoumts_ks@mvd.gov.ru" </w:instrText>
      </w:r>
      <w:r>
        <w:fldChar w:fldCharType="separate"/>
      </w:r>
      <w:r>
        <w:rPr>
          <w:rStyle w:val="Hyperlink"/>
          <w:lang w:val="en-US" w:eastAsia="en-US" w:bidi="en-US"/>
          <w:sz w:val="24"/>
          <w:szCs w:val="24"/>
          <w:w w:val="100"/>
          <w:spacing w:val="0"/>
          <w:position w:val="0"/>
        </w:rPr>
        <w:t>szoumts_ks @mv d</w:t>
      </w:r>
      <w:r>
        <w:rPr>
          <w:rStyle w:val="Hyperlink"/>
          <w:lang w:val="ru-RU" w:eastAsia="ru-RU" w:bidi="ru-RU"/>
          <w:sz w:val="24"/>
          <w:szCs w:val="24"/>
          <w:w w:val="100"/>
          <w:spacing w:val="0"/>
          <w:position w:val="0"/>
        </w:rPr>
        <w:t xml:space="preserve">. </w:t>
      </w:r>
      <w:r>
        <w:rPr>
          <w:rStyle w:val="Hyperlink"/>
          <w:lang w:val="en-US" w:eastAsia="en-US" w:bidi="en-US"/>
          <w:sz w:val="24"/>
          <w:szCs w:val="24"/>
          <w:w w:val="100"/>
          <w:spacing w:val="0"/>
          <w:position w:val="0"/>
        </w:rPr>
        <w:t>go v. ru</w:t>
      </w:r>
      <w:r>
        <w:fldChar w:fldCharType="end"/>
      </w:r>
    </w:p>
    <w:p>
      <w:pPr>
        <w:pStyle w:val="Style13"/>
        <w:widowControl w:val="0"/>
        <w:keepNext w:val="0"/>
        <w:keepLines w:val="0"/>
        <w:shd w:val="clear" w:color="auto" w:fill="auto"/>
        <w:bidi w:val="0"/>
        <w:jc w:val="left"/>
        <w:spacing w:before="0" w:after="236" w:line="312" w:lineRule="exact"/>
        <w:ind w:left="20" w:right="0" w:firstLine="0"/>
      </w:pPr>
      <w:r>
        <w:rPr>
          <w:lang w:val="ru-RU" w:eastAsia="ru-RU" w:bidi="ru-RU"/>
          <w:sz w:val="24"/>
          <w:szCs w:val="24"/>
          <w:w w:val="100"/>
          <w:spacing w:val="0"/>
          <w:color w:val="000000"/>
          <w:position w:val="0"/>
        </w:rPr>
        <w:t>Электронная торговая площадка ООО «РТС-Тендер»</w:t>
      </w:r>
    </w:p>
    <w:p>
      <w:pPr>
        <w:pStyle w:val="Style1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наб. Тараса Шевченко, д. 23А, пом. 1.</w:t>
      </w:r>
    </w:p>
    <w:p>
      <w:pPr>
        <w:pStyle w:val="Style13"/>
        <w:widowControl w:val="0"/>
        <w:keepNext w:val="0"/>
        <w:keepLines w:val="0"/>
        <w:shd w:val="clear" w:color="auto" w:fill="auto"/>
        <w:bidi w:val="0"/>
        <w:jc w:val="left"/>
        <w:spacing w:before="0" w:after="0" w:line="317" w:lineRule="exact"/>
        <w:ind w:left="20" w:right="0" w:firstLine="0"/>
      </w:pPr>
      <w:r>
        <w:rPr>
          <w:lang w:val="ru-RU" w:eastAsia="ru-RU" w:bidi="ru-RU"/>
          <w:sz w:val="24"/>
          <w:szCs w:val="24"/>
          <w:w w:val="100"/>
          <w:spacing w:val="0"/>
          <w:color w:val="000000"/>
          <w:position w:val="0"/>
        </w:rPr>
        <w:t>Москва, 121151</w:t>
      </w:r>
    </w:p>
    <w:p>
      <w:pPr>
        <w:pStyle w:val="Style13"/>
        <w:widowControl w:val="0"/>
        <w:keepNext w:val="0"/>
        <w:keepLines w:val="0"/>
        <w:shd w:val="clear" w:color="auto" w:fill="auto"/>
        <w:bidi w:val="0"/>
        <w:jc w:val="left"/>
        <w:spacing w:before="0" w:after="0" w:line="317" w:lineRule="exact"/>
        <w:ind w:left="20" w:right="0" w:firstLine="0"/>
        <w:sectPr>
          <w:footnotePr>
            <w:pos w:val="pageBottom"/>
            <w:numFmt w:val="decimal"/>
            <w:numRestart w:val="continuous"/>
          </w:footnotePr>
          <w:type w:val="continuous"/>
          <w:pgSz w:w="11906" w:h="16838"/>
          <w:pgMar w:top="1002" w:left="870" w:right="1100" w:bottom="536" w:header="0" w:footer="3" w:gutter="0"/>
          <w:rtlGutter w:val="0"/>
          <w:cols w:num="2" w:space="432"/>
          <w:noEndnote/>
          <w:docGrid w:linePitch="360"/>
        </w:sectPr>
      </w:pPr>
      <w:r>
        <w:fldChar w:fldCharType="begin"/>
      </w:r>
      <w:r>
        <w:rPr>
          <w:color w:val="000000"/>
        </w:rPr>
        <w:instrText> HYPERLINK "mailto:info@rts-tender.ru" </w:instrText>
      </w:r>
      <w:r>
        <w:fldChar w:fldCharType="separate"/>
      </w:r>
      <w:r>
        <w:rPr>
          <w:rStyle w:val="Hyperlink"/>
          <w:lang w:val="en-US" w:eastAsia="en-US" w:bidi="en-US"/>
          <w:sz w:val="24"/>
          <w:szCs w:val="24"/>
          <w:w w:val="100"/>
          <w:spacing w:val="0"/>
          <w:position w:val="0"/>
        </w:rPr>
        <w:t>info@rts-tender.ru</w:t>
      </w:r>
      <w:r>
        <w:fldChar w:fldCharType="end"/>
      </w:r>
    </w:p>
    <w:p>
      <w:pPr>
        <w:widowControl w:val="0"/>
        <w:spacing w:line="240" w:lineRule="exact"/>
        <w:rPr>
          <w:sz w:val="19"/>
          <w:szCs w:val="19"/>
        </w:rPr>
      </w:pP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center"/>
        <w:spacing w:before="0" w:after="0" w:line="336" w:lineRule="exact"/>
        <w:ind w:left="0" w:right="0" w:firstLine="0"/>
      </w:pPr>
      <w:r>
        <w:rPr>
          <w:lang w:val="ru-RU" w:eastAsia="ru-RU" w:bidi="ru-RU"/>
          <w:sz w:val="24"/>
          <w:szCs w:val="24"/>
          <w:w w:val="100"/>
          <w:spacing w:val="0"/>
          <w:color w:val="000000"/>
          <w:position w:val="0"/>
        </w:rPr>
        <w:t>РЕШЕНИЕ</w:t>
      </w:r>
    </w:p>
    <w:p>
      <w:pPr>
        <w:pStyle w:val="Style13"/>
        <w:widowControl w:val="0"/>
        <w:keepNext w:val="0"/>
        <w:keepLines w:val="0"/>
        <w:shd w:val="clear" w:color="auto" w:fill="auto"/>
        <w:bidi w:val="0"/>
        <w:jc w:val="center"/>
        <w:spacing w:before="0" w:after="0" w:line="336" w:lineRule="exact"/>
        <w:ind w:left="0" w:right="0" w:firstLine="0"/>
        <w:sectPr>
          <w:type w:val="continuous"/>
          <w:pgSz w:w="11906" w:h="16838"/>
          <w:pgMar w:top="1002" w:left="2574" w:right="2377" w:bottom="536" w:header="0" w:footer="3" w:gutter="0"/>
          <w:rtlGutter w:val="0"/>
          <w:cols w:space="720"/>
          <w:noEndnote/>
          <w:docGrid w:linePitch="360"/>
        </w:sectPr>
      </w:pPr>
      <w:r>
        <w:rPr>
          <w:lang w:val="ru-RU" w:eastAsia="ru-RU" w:bidi="ru-RU"/>
          <w:sz w:val="24"/>
          <w:szCs w:val="24"/>
          <w:w w:val="100"/>
          <w:spacing w:val="0"/>
          <w:color w:val="000000"/>
          <w:position w:val="0"/>
        </w:rPr>
        <w:t>Комиссии Санкт-Петербургского УФАС России по контролю в сфере государственного оборонного заказа по делу № 078/06/106-1320/2021</w:t>
      </w:r>
    </w:p>
    <w:p>
      <w:pPr>
        <w:widowControl w:val="0"/>
        <w:spacing w:before="98" w:after="9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framePr w:h="250" w:wrap="around" w:hAnchor="margin" w:x="8049" w:y="8813"/>
        <w:widowControl w:val="0"/>
        <w:keepNext w:val="0"/>
        <w:keepLines w:val="0"/>
        <w:shd w:val="clear" w:color="auto" w:fill="auto"/>
        <w:bidi w:val="0"/>
        <w:jc w:val="left"/>
        <w:spacing w:before="0" w:after="0" w:line="240" w:lineRule="exact"/>
        <w:ind w:left="100" w:right="0" w:firstLine="0"/>
      </w:pPr>
      <w:r>
        <w:rPr>
          <w:rStyle w:val="CharStyle15"/>
          <w:spacing w:val="0"/>
        </w:rPr>
        <w:t>Санкт-Петербург</w:t>
      </w:r>
    </w:p>
    <w:p>
      <w:pPr>
        <w:pStyle w:val="Style13"/>
        <w:widowControl w:val="0"/>
        <w:keepNext w:val="0"/>
        <w:keepLines w:val="0"/>
        <w:shd w:val="clear" w:color="auto" w:fill="auto"/>
        <w:bidi w:val="0"/>
        <w:jc w:val="left"/>
        <w:spacing w:before="0" w:after="270" w:line="240" w:lineRule="exact"/>
        <w:ind w:left="20" w:right="0" w:firstLine="0"/>
      </w:pPr>
      <w:r>
        <w:rPr>
          <w:lang w:val="ru-RU" w:eastAsia="ru-RU" w:bidi="ru-RU"/>
          <w:sz w:val="24"/>
          <w:szCs w:val="24"/>
          <w:w w:val="100"/>
          <w:spacing w:val="0"/>
          <w:color w:val="000000"/>
          <w:position w:val="0"/>
        </w:rPr>
        <w:t>26 октября 2021 года</w:t>
      </w:r>
    </w:p>
    <w:p>
      <w:pPr>
        <w:pStyle w:val="Style13"/>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spacing w:val="0"/>
          <w:color w:val="000000"/>
          <w:position w:val="0"/>
        </w:rPr>
        <w:t>Комиссия Санкт-Петербургского УФАС России по контролю в сфере государственного оборонного заказа (далее - Комиссия) в составе:</w:t>
      </w:r>
    </w:p>
    <w:p>
      <w:pPr>
        <w:pStyle w:val="Style13"/>
        <w:widowControl w:val="0"/>
        <w:keepNext w:val="0"/>
        <w:keepLines w:val="0"/>
        <w:shd w:val="clear" w:color="auto" w:fill="auto"/>
        <w:bidi w:val="0"/>
        <w:jc w:val="both"/>
        <w:spacing w:before="0" w:after="0" w:line="317" w:lineRule="exact"/>
        <w:ind w:left="20" w:right="20" w:firstLine="540"/>
      </w:pPr>
      <w:r>
        <w:rPr>
          <w:lang w:val="ru-RU" w:eastAsia="ru-RU" w:bidi="ru-RU"/>
          <w:sz w:val="24"/>
          <w:szCs w:val="24"/>
          <w:w w:val="100"/>
          <w:spacing w:val="0"/>
          <w:color w:val="000000"/>
          <w:position w:val="0"/>
        </w:rPr>
        <w:t>Тукаева Вячеслава Александровича - заместителя руководителя управления, заместителя председателя Комиссии,</w:t>
      </w:r>
    </w:p>
    <w:p>
      <w:pPr>
        <w:pStyle w:val="Style13"/>
        <w:widowControl w:val="0"/>
        <w:keepNext w:val="0"/>
        <w:keepLines w:val="0"/>
        <w:shd w:val="clear" w:color="auto" w:fill="auto"/>
        <w:bidi w:val="0"/>
        <w:jc w:val="both"/>
        <w:spacing w:before="0" w:after="0" w:line="307" w:lineRule="exact"/>
        <w:ind w:left="20" w:right="20" w:firstLine="540"/>
      </w:pPr>
      <w:r>
        <w:rPr>
          <w:lang w:val="ru-RU" w:eastAsia="ru-RU" w:bidi="ru-RU"/>
          <w:sz w:val="24"/>
          <w:szCs w:val="24"/>
          <w:w w:val="100"/>
          <w:spacing w:val="0"/>
          <w:color w:val="000000"/>
          <w:position w:val="0"/>
        </w:rPr>
        <w:t>Черняевой Ксении Сергеевны - ведущего специалиста-эксперта отдела контроля государственного оборонного заказа, члена Комиссии;</w:t>
      </w:r>
    </w:p>
    <w:p>
      <w:pPr>
        <w:pStyle w:val="Style13"/>
        <w:widowControl w:val="0"/>
        <w:keepNext w:val="0"/>
        <w:keepLines w:val="0"/>
        <w:shd w:val="clear" w:color="auto" w:fill="auto"/>
        <w:bidi w:val="0"/>
        <w:jc w:val="both"/>
        <w:spacing w:before="0" w:after="0" w:line="307" w:lineRule="exact"/>
        <w:ind w:left="20" w:right="20" w:firstLine="540"/>
      </w:pPr>
      <w:r>
        <w:rPr>
          <w:lang w:val="ru-RU" w:eastAsia="ru-RU" w:bidi="ru-RU"/>
          <w:sz w:val="24"/>
          <w:szCs w:val="24"/>
          <w:w w:val="100"/>
          <w:spacing w:val="0"/>
          <w:color w:val="000000"/>
          <w:position w:val="0"/>
        </w:rPr>
        <w:t>Тюменцевой Лолиты Сергеевны - специалиста-эксперта отдела контроля государственного оборонного заказа, члена Комиссии,</w:t>
      </w:r>
    </w:p>
    <w:p>
      <w:pPr>
        <w:pStyle w:val="Style13"/>
        <w:widowControl w:val="0"/>
        <w:keepNext w:val="0"/>
        <w:keepLines w:val="0"/>
        <w:shd w:val="clear" w:color="auto" w:fill="auto"/>
        <w:bidi w:val="0"/>
        <w:jc w:val="both"/>
        <w:spacing w:before="0" w:after="299" w:line="307" w:lineRule="exact"/>
        <w:ind w:left="20" w:right="20" w:firstLine="540"/>
      </w:pPr>
      <w:r>
        <w:rPr>
          <w:lang w:val="ru-RU" w:eastAsia="ru-RU" w:bidi="ru-RU"/>
          <w:sz w:val="24"/>
          <w:szCs w:val="24"/>
          <w:w w:val="100"/>
          <w:spacing w:val="0"/>
          <w:color w:val="000000"/>
          <w:position w:val="0"/>
        </w:rPr>
        <w:t>при участии посредством системы видео-конференц-связи представителей ФКУ «СЗОУМТС МВД России» по доверенности от 19.01.2021 № СЗ/Д-16 Елисеева С.И., ООО «ВАККО» по доверенности от 15.09.2021 б/н Примакову О.А., на основании решения от 13.02.2018 № 1 Панина Д.В., рассмотрев посредством системы видео</w:t>
        <w:softHyphen/>
        <w:t>конференц-связи жалобу ООО «ВАККО» (далее - Заявитель, Общество) на действия ФКУ «СЗОУМТС МВД России» (далее — Единая комиссия, Заказчик) при проведении</w:t>
      </w:r>
    </w:p>
    <w:p>
      <w:pPr>
        <w:pStyle w:val="Style11"/>
        <w:widowControl w:val="0"/>
        <w:keepNext w:val="0"/>
        <w:keepLines w:val="0"/>
        <w:shd w:val="clear" w:color="auto" w:fill="auto"/>
        <w:bidi w:val="0"/>
        <w:jc w:val="left"/>
        <w:spacing w:before="0" w:after="0" w:line="240" w:lineRule="auto"/>
        <w:ind w:left="0" w:right="0" w:firstLine="0"/>
      </w:pPr>
      <w:r>
        <w:rPr>
          <w:w w:val="100"/>
          <w:spacing w:val="0"/>
          <w:color w:val="000000"/>
          <w:position w:val="0"/>
        </w:rPr>
        <w:t>000034145822</w:t>
      </w:r>
    </w:p>
    <w:p>
      <w:pPr>
        <w:pStyle w:val="Style16"/>
        <w:widowControl w:val="0"/>
        <w:keepNext/>
        <w:keepLines/>
        <w:shd w:val="clear" w:color="auto" w:fill="auto"/>
        <w:bidi w:val="0"/>
        <w:jc w:val="left"/>
        <w:spacing w:before="0" w:after="0" w:line="260" w:lineRule="exact"/>
        <w:ind w:left="8120" w:right="0" w:firstLine="0"/>
        <w:sectPr>
          <w:type w:val="continuous"/>
          <w:pgSz w:w="11906" w:h="16838"/>
          <w:pgMar w:top="1002" w:left="846" w:right="851" w:bottom="536" w:header="0" w:footer="3" w:gutter="0"/>
          <w:rtlGutter w:val="0"/>
          <w:cols w:space="720"/>
          <w:noEndnote/>
          <w:docGrid w:linePitch="360"/>
        </w:sectPr>
      </w:pPr>
      <w:bookmarkStart w:id="0" w:name="bookmark0"/>
      <w:r>
        <w:rPr>
          <w:lang w:val="ru-RU" w:eastAsia="ru-RU" w:bidi="ru-RU"/>
          <w:w w:val="100"/>
          <w:color w:val="000000"/>
          <w:position w:val="0"/>
        </w:rPr>
        <w:t>390280</w:t>
      </w:r>
      <w:bookmarkEnd w:id="0"/>
      <w:r>
        <w:br w:type="page"/>
      </w:r>
    </w:p>
    <w:p>
      <w:pPr>
        <w:pStyle w:val="Style13"/>
        <w:widowControl w:val="0"/>
        <w:keepNext w:val="0"/>
        <w:keepLines w:val="0"/>
        <w:shd w:val="clear" w:color="auto" w:fill="auto"/>
        <w:bidi w:val="0"/>
        <w:jc w:val="both"/>
        <w:spacing w:before="0" w:after="294" w:line="307" w:lineRule="exact"/>
        <w:ind w:left="40" w:right="40" w:firstLine="0"/>
      </w:pPr>
      <w:r>
        <w:rPr>
          <w:lang w:val="ru-RU" w:eastAsia="ru-RU" w:bidi="ru-RU"/>
          <w:sz w:val="24"/>
          <w:szCs w:val="24"/>
          <w:w w:val="100"/>
          <w:spacing w:val="0"/>
          <w:color w:val="000000"/>
          <w:position w:val="0"/>
        </w:rPr>
        <w:t>ФКУ «СЗОУМТС МВД России» электронного аукциона на поставку средств антитеррористической защищенности в рамках Государственного оборонного заказа (номер извещения 0372100047321000277) (далее — Аукцион), и в результате проведения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3"/>
        <w:widowControl w:val="0"/>
        <w:keepNext w:val="0"/>
        <w:keepLines w:val="0"/>
        <w:shd w:val="clear" w:color="auto" w:fill="auto"/>
        <w:bidi w:val="0"/>
        <w:jc w:val="center"/>
        <w:spacing w:before="0" w:after="263" w:line="240" w:lineRule="exact"/>
        <w:ind w:left="0" w:right="0" w:firstLine="0"/>
      </w:pPr>
      <w:r>
        <w:rPr>
          <w:lang w:val="ru-RU" w:eastAsia="ru-RU" w:bidi="ru-RU"/>
          <w:sz w:val="24"/>
          <w:szCs w:val="24"/>
          <w:w w:val="100"/>
          <w:spacing w:val="0"/>
          <w:color w:val="000000"/>
          <w:position w:val="0"/>
        </w:rPr>
        <w:t>УСТАНОВИЛА:</w:t>
      </w:r>
    </w:p>
    <w:p>
      <w:pPr>
        <w:pStyle w:val="Style13"/>
        <w:widowControl w:val="0"/>
        <w:keepNext w:val="0"/>
        <w:keepLines w:val="0"/>
        <w:shd w:val="clear" w:color="auto" w:fill="auto"/>
        <w:bidi w:val="0"/>
        <w:jc w:val="both"/>
        <w:spacing w:before="0" w:after="0" w:line="307" w:lineRule="exact"/>
        <w:ind w:left="40" w:right="40" w:firstLine="580"/>
      </w:pPr>
      <w:r>
        <w:rPr>
          <w:lang w:val="ru-RU" w:eastAsia="ru-RU" w:bidi="ru-RU"/>
          <w:sz w:val="24"/>
          <w:szCs w:val="24"/>
          <w:w w:val="100"/>
          <w:spacing w:val="0"/>
          <w:color w:val="000000"/>
          <w:position w:val="0"/>
        </w:rPr>
        <w:t>В Санкт-Петербургское УФАС России поступила жалоба Заявителя (вх. от 20.10.2021 № 32967-ЭП/21) на действия Единой комиссии при проведении Заказчиком Аукциона.</w:t>
      </w:r>
    </w:p>
    <w:p>
      <w:pPr>
        <w:pStyle w:val="Style13"/>
        <w:widowControl w:val="0"/>
        <w:keepNext w:val="0"/>
        <w:keepLines w:val="0"/>
        <w:shd w:val="clear" w:color="auto" w:fill="auto"/>
        <w:bidi w:val="0"/>
        <w:jc w:val="both"/>
        <w:spacing w:before="0" w:after="0" w:line="307" w:lineRule="exact"/>
        <w:ind w:left="40" w:right="40" w:firstLine="580"/>
      </w:pPr>
      <w:r>
        <w:rPr>
          <w:lang w:val="ru-RU" w:eastAsia="ru-RU" w:bidi="ru-RU"/>
          <w:sz w:val="24"/>
          <w:szCs w:val="24"/>
          <w:w w:val="100"/>
          <w:spacing w:val="0"/>
          <w:color w:val="000000"/>
          <w:position w:val="0"/>
        </w:rPr>
        <w:t>Заявитель указывает, что документация об аукционе содержит нарушения Закона о контрактной системе, Федерального закона № 135-ФЗ, поскольку заказчиком в Техническом задание установлены такие технические требования к требуемому к поставке товару, которым соответствует товар конкретного производителя «ЗУ» Республики Беларусь, что свидетельствует об ограничении количества потенциальных участников закупки.</w:t>
      </w:r>
    </w:p>
    <w:p>
      <w:pPr>
        <w:pStyle w:val="Style13"/>
        <w:widowControl w:val="0"/>
        <w:keepNext w:val="0"/>
        <w:keepLines w:val="0"/>
        <w:shd w:val="clear" w:color="auto" w:fill="auto"/>
        <w:bidi w:val="0"/>
        <w:jc w:val="both"/>
        <w:spacing w:before="0" w:after="0" w:line="307" w:lineRule="exact"/>
        <w:ind w:left="40" w:right="40" w:firstLine="580"/>
      </w:pPr>
      <w:r>
        <w:rPr>
          <w:lang w:val="ru-RU" w:eastAsia="ru-RU" w:bidi="ru-RU"/>
          <w:sz w:val="24"/>
          <w:szCs w:val="24"/>
          <w:w w:val="100"/>
          <w:spacing w:val="0"/>
          <w:color w:val="000000"/>
          <w:position w:val="0"/>
        </w:rPr>
        <w:t>По мнению заявителя, турникеты с данными параметрами в качестве эквивалентной продукции отсутствуют на рынке, в силу чего ограничено количество участников закупки и нарушены требования статьи 33 Закона о контрактной системе.</w:t>
      </w:r>
    </w:p>
    <w:p>
      <w:pPr>
        <w:pStyle w:val="Style13"/>
        <w:widowControl w:val="0"/>
        <w:keepNext w:val="0"/>
        <w:keepLines w:val="0"/>
        <w:shd w:val="clear" w:color="auto" w:fill="auto"/>
        <w:bidi w:val="0"/>
        <w:jc w:val="both"/>
        <w:spacing w:before="0" w:after="0" w:line="307" w:lineRule="exact"/>
        <w:ind w:left="40" w:right="40" w:firstLine="580"/>
      </w:pPr>
      <w:r>
        <w:rPr>
          <w:lang w:val="ru-RU" w:eastAsia="ru-RU" w:bidi="ru-RU"/>
          <w:sz w:val="24"/>
          <w:szCs w:val="24"/>
          <w:w w:val="100"/>
          <w:spacing w:val="0"/>
          <w:color w:val="000000"/>
          <w:position w:val="0"/>
        </w:rPr>
        <w:t>Заказчиком представлены возражения на жалобу заявителя. Из указанных возражений следует, что заказчик считает доводы жалобы необоснованными и не подлежащими удовлетворению.</w:t>
      </w:r>
    </w:p>
    <w:p>
      <w:pPr>
        <w:pStyle w:val="Style13"/>
        <w:widowControl w:val="0"/>
        <w:keepNext w:val="0"/>
        <w:keepLines w:val="0"/>
        <w:shd w:val="clear" w:color="auto" w:fill="auto"/>
        <w:bidi w:val="0"/>
        <w:jc w:val="both"/>
        <w:spacing w:before="0" w:after="0" w:line="307" w:lineRule="exact"/>
        <w:ind w:left="40" w:right="40" w:firstLine="580"/>
      </w:pPr>
      <w:r>
        <w:rPr>
          <w:lang w:val="ru-RU" w:eastAsia="ru-RU" w:bidi="ru-RU"/>
          <w:sz w:val="24"/>
          <w:szCs w:val="24"/>
          <w:w w:val="100"/>
          <w:spacing w:val="0"/>
          <w:color w:val="000000"/>
          <w:position w:val="0"/>
        </w:rPr>
        <w:t>В соответствии с извещением о проведении Аукциона, документацией об Аукционе, протоколами, составленными при определении поставщика (подрядчика, исполнителя):</w:t>
      </w:r>
    </w:p>
    <w:p>
      <w:pPr>
        <w:pStyle w:val="Style13"/>
        <w:numPr>
          <w:ilvl w:val="0"/>
          <w:numId w:val="1"/>
        </w:numPr>
        <w:widowControl w:val="0"/>
        <w:keepNext w:val="0"/>
        <w:keepLines w:val="0"/>
        <w:shd w:val="clear" w:color="auto" w:fill="auto"/>
        <w:bidi w:val="0"/>
        <w:jc w:val="both"/>
        <w:spacing w:before="0" w:after="0" w:line="307" w:lineRule="exact"/>
        <w:ind w:left="40" w:right="40" w:firstLine="580"/>
      </w:pPr>
      <w:r>
        <w:rPr>
          <w:lang w:val="ru-RU" w:eastAsia="ru-RU" w:bidi="ru-RU"/>
          <w:sz w:val="24"/>
          <w:szCs w:val="24"/>
          <w:w w:val="100"/>
          <w:spacing w:val="0"/>
          <w:color w:val="000000"/>
          <w:position w:val="0"/>
        </w:rPr>
        <w:t xml:space="preserve"> извещение о проведении Аукциона размещено в единой информационной системе в сфере закупок на сайте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17.09.2021;</w:t>
      </w:r>
    </w:p>
    <w:p>
      <w:pPr>
        <w:pStyle w:val="Style13"/>
        <w:numPr>
          <w:ilvl w:val="0"/>
          <w:numId w:val="1"/>
        </w:numPr>
        <w:widowControl w:val="0"/>
        <w:keepNext w:val="0"/>
        <w:keepLines w:val="0"/>
        <w:shd w:val="clear" w:color="auto" w:fill="auto"/>
        <w:bidi w:val="0"/>
        <w:jc w:val="both"/>
        <w:spacing w:before="0" w:after="0" w:line="307" w:lineRule="exact"/>
        <w:ind w:left="40" w:right="0" w:firstLine="580"/>
      </w:pPr>
      <w:r>
        <w:rPr>
          <w:lang w:val="ru-RU" w:eastAsia="ru-RU" w:bidi="ru-RU"/>
          <w:sz w:val="24"/>
          <w:szCs w:val="24"/>
          <w:w w:val="100"/>
          <w:spacing w:val="0"/>
          <w:color w:val="000000"/>
          <w:position w:val="0"/>
        </w:rPr>
        <w:t xml:space="preserve"> начальная (максимальная) цена контракта - 6 004 000,00 руб.;</w:t>
      </w:r>
    </w:p>
    <w:p>
      <w:pPr>
        <w:pStyle w:val="Style13"/>
        <w:numPr>
          <w:ilvl w:val="0"/>
          <w:numId w:val="1"/>
        </w:numPr>
        <w:widowControl w:val="0"/>
        <w:keepNext w:val="0"/>
        <w:keepLines w:val="0"/>
        <w:shd w:val="clear" w:color="auto" w:fill="auto"/>
        <w:bidi w:val="0"/>
        <w:jc w:val="both"/>
        <w:spacing w:before="0" w:after="0" w:line="307" w:lineRule="exact"/>
        <w:ind w:left="40" w:right="0" w:firstLine="580"/>
      </w:pPr>
      <w:r>
        <w:rPr>
          <w:lang w:val="ru-RU" w:eastAsia="ru-RU" w:bidi="ru-RU"/>
          <w:sz w:val="24"/>
          <w:szCs w:val="24"/>
          <w:w w:val="100"/>
          <w:spacing w:val="0"/>
          <w:color w:val="000000"/>
          <w:position w:val="0"/>
        </w:rPr>
        <w:t xml:space="preserve"> дата окончания срока подачи заявок на участие в Аукционе - 20.10.2021;</w:t>
      </w:r>
    </w:p>
    <w:p>
      <w:pPr>
        <w:pStyle w:val="Style13"/>
        <w:numPr>
          <w:ilvl w:val="0"/>
          <w:numId w:val="1"/>
        </w:numPr>
        <w:widowControl w:val="0"/>
        <w:keepNext w:val="0"/>
        <w:keepLines w:val="0"/>
        <w:shd w:val="clear" w:color="auto" w:fill="auto"/>
        <w:bidi w:val="0"/>
        <w:jc w:val="both"/>
        <w:spacing w:before="0" w:after="0" w:line="307" w:lineRule="exact"/>
        <w:ind w:left="40" w:right="0" w:firstLine="580"/>
      </w:pPr>
      <w:r>
        <w:rPr>
          <w:lang w:val="ru-RU" w:eastAsia="ru-RU" w:bidi="ru-RU"/>
          <w:sz w:val="24"/>
          <w:szCs w:val="24"/>
          <w:w w:val="100"/>
          <w:spacing w:val="0"/>
          <w:color w:val="000000"/>
          <w:position w:val="0"/>
        </w:rPr>
        <w:t xml:space="preserve"> на участие в Аукционе подано 3 заявки от участников закупки.</w:t>
      </w:r>
    </w:p>
    <w:p>
      <w:pPr>
        <w:pStyle w:val="Style13"/>
        <w:widowControl w:val="0"/>
        <w:keepNext w:val="0"/>
        <w:keepLines w:val="0"/>
        <w:shd w:val="clear" w:color="auto" w:fill="auto"/>
        <w:bidi w:val="0"/>
        <w:jc w:val="both"/>
        <w:spacing w:before="0" w:after="0" w:line="307" w:lineRule="exact"/>
        <w:ind w:left="40" w:right="40" w:firstLine="580"/>
      </w:pPr>
      <w:r>
        <w:rPr>
          <w:lang w:val="ru-RU" w:eastAsia="ru-RU" w:bidi="ru-RU"/>
          <w:sz w:val="24"/>
          <w:szCs w:val="24"/>
          <w:w w:val="100"/>
          <w:spacing w:val="0"/>
          <w:color w:val="000000"/>
          <w:position w:val="0"/>
        </w:rPr>
        <w:t>Согласно извещению о проведении Аукциона, Закупка осуществляется в рамках государственного оборонного заказа.</w:t>
      </w:r>
    </w:p>
    <w:p>
      <w:pPr>
        <w:pStyle w:val="Style13"/>
        <w:widowControl w:val="0"/>
        <w:keepNext w:val="0"/>
        <w:keepLines w:val="0"/>
        <w:shd w:val="clear" w:color="auto" w:fill="auto"/>
        <w:bidi w:val="0"/>
        <w:jc w:val="both"/>
        <w:spacing w:before="0" w:after="0" w:line="307" w:lineRule="exact"/>
        <w:ind w:left="40" w:right="40" w:firstLine="580"/>
        <w:sectPr>
          <w:type w:val="continuous"/>
          <w:pgSz w:w="11906" w:h="16838"/>
          <w:pgMar w:top="1629" w:left="826" w:right="826" w:bottom="1941" w:header="0" w:footer="3" w:gutter="0"/>
          <w:rtlGutter w:val="0"/>
          <w:cols w:space="720"/>
          <w:noEndnote/>
          <w:docGrid w:linePitch="360"/>
        </w:sectPr>
      </w:pPr>
      <w:r>
        <w:rPr>
          <w:lang w:val="ru-RU" w:eastAsia="ru-RU" w:bidi="ru-RU"/>
          <w:sz w:val="24"/>
          <w:szCs w:val="24"/>
          <w:w w:val="100"/>
          <w:spacing w:val="0"/>
          <w:color w:val="000000"/>
          <w:position w:val="0"/>
        </w:rPr>
        <w:t>Пунктом 1.5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 ноября 2014 года № 727/14, предметом государственного контроля</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05" w:lineRule="exact"/>
      </w:pPr>
    </w:p>
    <w:p>
      <w:pPr>
        <w:widowControl w:val="0"/>
        <w:rPr>
          <w:sz w:val="2"/>
          <w:szCs w:val="2"/>
        </w:rPr>
        <w:sectPr>
          <w:type w:val="continuous"/>
          <w:pgSz w:w="11906" w:h="16838"/>
          <w:pgMar w:top="164" w:left="56" w:right="56" w:bottom="164" w:header="0" w:footer="3" w:gutter="0"/>
          <w:rtlGutter w:val="0"/>
          <w:cols w:space="720"/>
          <w:noEndnote/>
          <w:docGrid w:linePitch="360"/>
        </w:sectPr>
      </w:pPr>
    </w:p>
    <w:p>
      <w:pPr>
        <w:pStyle w:val="Style13"/>
        <w:widowControl w:val="0"/>
        <w:keepNext w:val="0"/>
        <w:keepLines w:val="0"/>
        <w:shd w:val="clear" w:color="auto" w:fill="auto"/>
        <w:bidi w:val="0"/>
        <w:jc w:val="both"/>
        <w:spacing w:before="0" w:after="0" w:line="307" w:lineRule="exact"/>
        <w:ind w:left="40" w:right="20" w:firstLine="0"/>
      </w:pPr>
      <w:r>
        <w:rPr>
          <w:lang w:val="ru-RU" w:eastAsia="ru-RU" w:bidi="ru-RU"/>
          <w:sz w:val="24"/>
          <w:szCs w:val="24"/>
          <w:w w:val="100"/>
          <w:spacing w:val="0"/>
          <w:color w:val="000000"/>
          <w:position w:val="0"/>
        </w:rPr>
        <w:t>является соблюдение требований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3"/>
        <w:tabs>
          <w:tab w:leader="none" w:pos="5896" w:val="right"/>
          <w:tab w:leader="none" w:pos="10219" w:val="right"/>
        </w:tabs>
        <w:widowControl w:val="0"/>
        <w:keepNext w:val="0"/>
        <w:keepLines w:val="0"/>
        <w:shd w:val="clear" w:color="auto" w:fill="auto"/>
        <w:bidi w:val="0"/>
        <w:jc w:val="both"/>
        <w:spacing w:before="0" w:after="0" w:line="307" w:lineRule="exact"/>
        <w:ind w:left="40" w:right="20" w:firstLine="560"/>
      </w:pPr>
      <w:r>
        <w:rPr>
          <w:lang w:val="ru-RU" w:eastAsia="ru-RU" w:bidi="ru-RU"/>
          <w:sz w:val="24"/>
          <w:szCs w:val="24"/>
          <w:w w:val="100"/>
          <w:spacing w:val="0"/>
          <w:color w:val="000000"/>
          <w:position w:val="0"/>
        </w:rPr>
        <w:t>Рассмотрение жалобы заявителя производится в порядке, установленном главой 6 Закона о контрактной системе, а также названным административным регламентом, и не</w:t>
        <w:tab/>
        <w:t>предполагает осуществление контроля</w:t>
        <w:tab/>
        <w:t>соблюдения антимонопольного</w:t>
      </w:r>
    </w:p>
    <w:p>
      <w:pPr>
        <w:pStyle w:val="Style13"/>
        <w:widowControl w:val="0"/>
        <w:keepNext w:val="0"/>
        <w:keepLines w:val="0"/>
        <w:shd w:val="clear" w:color="auto" w:fill="auto"/>
        <w:bidi w:val="0"/>
        <w:jc w:val="both"/>
        <w:spacing w:before="0" w:after="0" w:line="307" w:lineRule="exact"/>
        <w:ind w:left="40" w:right="20" w:firstLine="0"/>
      </w:pPr>
      <w:r>
        <w:rPr>
          <w:lang w:val="ru-RU" w:eastAsia="ru-RU" w:bidi="ru-RU"/>
          <w:sz w:val="24"/>
          <w:szCs w:val="24"/>
          <w:w w:val="100"/>
          <w:spacing w:val="0"/>
          <w:color w:val="000000"/>
          <w:position w:val="0"/>
        </w:rPr>
        <w:t>законодательства, предусмотренного Федеральным законом «О защите конкуренции» в связи с чем доводы заявителя о нарушении положений Федерального закона № 135-ФЗ Комиссией не рассматривались.</w:t>
      </w:r>
    </w:p>
    <w:p>
      <w:pPr>
        <w:pStyle w:val="Style13"/>
        <w:widowControl w:val="0"/>
        <w:keepNext w:val="0"/>
        <w:keepLines w:val="0"/>
        <w:shd w:val="clear" w:color="auto" w:fill="auto"/>
        <w:bidi w:val="0"/>
        <w:jc w:val="both"/>
        <w:spacing w:before="0" w:after="0" w:line="307" w:lineRule="exact"/>
        <w:ind w:left="40" w:right="20" w:firstLine="560"/>
      </w:pPr>
      <w:r>
        <w:rPr>
          <w:lang w:val="ru-RU" w:eastAsia="ru-RU" w:bidi="ru-RU"/>
          <w:sz w:val="24"/>
          <w:szCs w:val="24"/>
          <w:w w:val="100"/>
          <w:spacing w:val="0"/>
          <w:color w:val="000000"/>
          <w:position w:val="0"/>
        </w:rPr>
        <w:t>Согласно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w:t>
      </w:r>
    </w:p>
    <w:p>
      <w:pPr>
        <w:pStyle w:val="Style13"/>
        <w:tabs>
          <w:tab w:leader="none" w:pos="10219" w:val="right"/>
        </w:tabs>
        <w:widowControl w:val="0"/>
        <w:keepNext w:val="0"/>
        <w:keepLines w:val="0"/>
        <w:shd w:val="clear" w:color="auto" w:fill="auto"/>
        <w:bidi w:val="0"/>
        <w:jc w:val="both"/>
        <w:spacing w:before="0" w:after="0" w:line="307" w:lineRule="exact"/>
        <w:ind w:left="40" w:right="0" w:firstLine="560"/>
      </w:pPr>
      <w:r>
        <w:rPr>
          <w:lang w:val="ru-RU" w:eastAsia="ru-RU" w:bidi="ru-RU"/>
          <w:sz w:val="24"/>
          <w:szCs w:val="24"/>
          <w:w w:val="100"/>
          <w:spacing w:val="0"/>
          <w:color w:val="000000"/>
          <w:position w:val="0"/>
        </w:rPr>
        <w:t>наименование и описание объекта закупки и</w:t>
        <w:tab/>
        <w:t>условия контракта в соответствии со</w:t>
      </w:r>
    </w:p>
    <w:p>
      <w:pPr>
        <w:pStyle w:val="Style13"/>
        <w:tabs>
          <w:tab w:leader="none" w:pos="10219" w:val="right"/>
        </w:tabs>
        <w:widowControl w:val="0"/>
        <w:keepNext w:val="0"/>
        <w:keepLines w:val="0"/>
        <w:shd w:val="clear" w:color="auto" w:fill="auto"/>
        <w:bidi w:val="0"/>
        <w:jc w:val="both"/>
        <w:spacing w:before="0" w:after="0" w:line="307" w:lineRule="exact"/>
        <w:ind w:left="40" w:right="0" w:firstLine="0"/>
      </w:pPr>
      <w:r>
        <w:rPr>
          <w:lang w:val="ru-RU" w:eastAsia="ru-RU" w:bidi="ru-RU"/>
          <w:sz w:val="24"/>
          <w:szCs w:val="24"/>
          <w:w w:val="100"/>
          <w:spacing w:val="0"/>
          <w:color w:val="000000"/>
          <w:position w:val="0"/>
        </w:rPr>
        <w:t>статьей 33 настоящего Федерального закона, в</w:t>
        <w:tab/>
        <w:t>том числе обоснование начальной</w:t>
      </w:r>
    </w:p>
    <w:p>
      <w:pPr>
        <w:pStyle w:val="Style13"/>
        <w:widowControl w:val="0"/>
        <w:keepNext w:val="0"/>
        <w:keepLines w:val="0"/>
        <w:shd w:val="clear" w:color="auto" w:fill="auto"/>
        <w:bidi w:val="0"/>
        <w:jc w:val="both"/>
        <w:spacing w:before="0" w:after="0" w:line="307" w:lineRule="exact"/>
        <w:ind w:left="40" w:right="0" w:firstLine="0"/>
      </w:pPr>
      <w:r>
        <w:rPr>
          <w:lang w:val="ru-RU" w:eastAsia="ru-RU" w:bidi="ru-RU"/>
          <w:sz w:val="24"/>
          <w:szCs w:val="24"/>
          <w:w w:val="100"/>
          <w:spacing w:val="0"/>
          <w:color w:val="000000"/>
          <w:position w:val="0"/>
        </w:rPr>
        <w:t>(максимальной) цены контракта (пункт 1).</w:t>
      </w:r>
    </w:p>
    <w:p>
      <w:pPr>
        <w:pStyle w:val="Style13"/>
        <w:widowControl w:val="0"/>
        <w:keepNext w:val="0"/>
        <w:keepLines w:val="0"/>
        <w:shd w:val="clear" w:color="auto" w:fill="auto"/>
        <w:bidi w:val="0"/>
        <w:jc w:val="both"/>
        <w:spacing w:before="0" w:after="0" w:line="307" w:lineRule="exact"/>
        <w:ind w:left="40" w:right="20" w:firstLine="560"/>
      </w:pPr>
      <w:r>
        <w:rPr>
          <w:lang w:val="ru-RU" w:eastAsia="ru-RU" w:bidi="ru-RU"/>
          <w:sz w:val="24"/>
          <w:szCs w:val="24"/>
          <w:w w:val="100"/>
          <w:spacing w:val="0"/>
          <w:color w:val="000000"/>
          <w:position w:val="0"/>
        </w:rPr>
        <w:t>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 (пункт 2).</w:t>
      </w:r>
    </w:p>
    <w:p>
      <w:pPr>
        <w:pStyle w:val="Style13"/>
        <w:widowControl w:val="0"/>
        <w:keepNext w:val="0"/>
        <w:keepLines w:val="0"/>
        <w:shd w:val="clear" w:color="auto" w:fill="auto"/>
        <w:bidi w:val="0"/>
        <w:jc w:val="both"/>
        <w:spacing w:before="0" w:after="0" w:line="307" w:lineRule="exact"/>
        <w:ind w:left="40" w:right="20" w:firstLine="560"/>
      </w:pPr>
      <w:r>
        <w:rPr>
          <w:lang w:val="ru-RU" w:eastAsia="ru-RU" w:bidi="ru-RU"/>
          <w:sz w:val="24"/>
          <w:szCs w:val="24"/>
          <w:w w:val="100"/>
          <w:spacing w:val="0"/>
          <w:color w:val="000000"/>
          <w:position w:val="0"/>
        </w:rPr>
        <w:t>В соответствии с пунктом 2 части 1 статьи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частями 3-6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3"/>
        <w:widowControl w:val="0"/>
        <w:keepNext w:val="0"/>
        <w:keepLines w:val="0"/>
        <w:shd w:val="clear" w:color="auto" w:fill="auto"/>
        <w:bidi w:val="0"/>
        <w:jc w:val="both"/>
        <w:spacing w:before="0" w:after="0" w:line="307" w:lineRule="exact"/>
        <w:ind w:left="40" w:right="20" w:firstLine="560"/>
        <w:sectPr>
          <w:type w:val="continuous"/>
          <w:pgSz w:w="11906" w:h="16838"/>
          <w:pgMar w:top="2210" w:left="1357" w:right="306" w:bottom="1644" w:header="0" w:footer="3" w:gutter="0"/>
          <w:rtlGutter w:val="0"/>
          <w:cols w:space="720"/>
          <w:noEndnote/>
          <w:docGrid w:linePitch="360"/>
        </w:sectPr>
      </w:pPr>
      <w:r>
        <w:rPr>
          <w:lang w:val="ru-RU" w:eastAsia="ru-RU" w:bidi="ru-RU"/>
          <w:sz w:val="24"/>
          <w:szCs w:val="24"/>
          <w:w w:val="100"/>
          <w:spacing w:val="0"/>
          <w:color w:val="000000"/>
          <w:position w:val="0"/>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br w:type="page"/>
      </w:r>
    </w:p>
    <w:p>
      <w:pPr>
        <w:pStyle w:val="Style13"/>
        <w:widowControl w:val="0"/>
        <w:keepNext w:val="0"/>
        <w:keepLines w:val="0"/>
        <w:shd w:val="clear" w:color="auto" w:fill="auto"/>
        <w:bidi w:val="0"/>
        <w:jc w:val="both"/>
        <w:spacing w:before="0" w:after="0" w:line="307" w:lineRule="exact"/>
        <w:ind w:left="20" w:right="20" w:firstLine="560"/>
      </w:pPr>
      <w:r>
        <w:rPr>
          <w:lang w:val="ru-RU" w:eastAsia="ru-RU" w:bidi="ru-RU"/>
          <w:sz w:val="24"/>
          <w:szCs w:val="24"/>
          <w:w w:val="100"/>
          <w:spacing w:val="0"/>
          <w:color w:val="000000"/>
          <w:position w:val="0"/>
        </w:rPr>
        <w:t>Согласно пункту 2 части 1 статьи 33 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13"/>
        <w:widowControl w:val="0"/>
        <w:keepNext w:val="0"/>
        <w:keepLines w:val="0"/>
        <w:shd w:val="clear" w:color="auto" w:fill="auto"/>
        <w:bidi w:val="0"/>
        <w:jc w:val="both"/>
        <w:spacing w:before="0" w:after="0" w:line="307" w:lineRule="exact"/>
        <w:ind w:left="20" w:right="20" w:firstLine="560"/>
      </w:pPr>
      <w:r>
        <w:rPr>
          <w:lang w:val="ru-RU" w:eastAsia="ru-RU" w:bidi="ru-RU"/>
          <w:sz w:val="24"/>
          <w:szCs w:val="24"/>
          <w:w w:val="100"/>
          <w:spacing w:val="0"/>
          <w:color w:val="000000"/>
          <w:position w:val="0"/>
        </w:rPr>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 потребность Заказчика является определяющим фактором при формировании объекта закупки.</w:t>
      </w:r>
    </w:p>
    <w:p>
      <w:pPr>
        <w:pStyle w:val="Style13"/>
        <w:widowControl w:val="0"/>
        <w:keepNext w:val="0"/>
        <w:keepLines w:val="0"/>
        <w:shd w:val="clear" w:color="auto" w:fill="auto"/>
        <w:bidi w:val="0"/>
        <w:jc w:val="both"/>
        <w:spacing w:before="0" w:after="0" w:line="307" w:lineRule="exact"/>
        <w:ind w:left="20" w:right="20" w:firstLine="560"/>
      </w:pPr>
      <w:r>
        <w:rPr>
          <w:lang w:val="ru-RU" w:eastAsia="ru-RU" w:bidi="ru-RU"/>
          <w:sz w:val="24"/>
          <w:szCs w:val="24"/>
          <w:w w:val="100"/>
          <w:spacing w:val="0"/>
          <w:color w:val="000000"/>
          <w:position w:val="0"/>
        </w:rPr>
        <w:t>Комиссия, не оспаривая право заказчика устанавливать показатели в соответствии со своими потребностями, отмечает, что параметры, установленные в документации о закупке, не должны приводить к ограничению количества участников закупки. В данном случае, исполнением требований Закона о контрактной системе, должно являться наличие на рынке как минимум двух производителей, товар которых соответствует всем требованиям, обозначенным в аукционной документации.</w:t>
      </w:r>
    </w:p>
    <w:p>
      <w:pPr>
        <w:pStyle w:val="Style13"/>
        <w:widowControl w:val="0"/>
        <w:keepNext w:val="0"/>
        <w:keepLines w:val="0"/>
        <w:shd w:val="clear" w:color="auto" w:fill="auto"/>
        <w:bidi w:val="0"/>
        <w:jc w:val="both"/>
        <w:spacing w:before="0" w:after="0" w:line="307" w:lineRule="exact"/>
        <w:ind w:left="20" w:right="20" w:firstLine="560"/>
      </w:pPr>
      <w:r>
        <w:rPr>
          <w:lang w:val="ru-RU" w:eastAsia="ru-RU" w:bidi="ru-RU"/>
          <w:sz w:val="24"/>
          <w:szCs w:val="24"/>
          <w:w w:val="100"/>
          <w:spacing w:val="0"/>
          <w:color w:val="000000"/>
          <w:position w:val="0"/>
        </w:rPr>
        <w:t>Аналогичная позиция содержится в пункте 2 «Обзора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28.06.2017 г.).</w:t>
      </w:r>
    </w:p>
    <w:p>
      <w:pPr>
        <w:pStyle w:val="Style13"/>
        <w:widowControl w:val="0"/>
        <w:keepNext w:val="0"/>
        <w:keepLines w:val="0"/>
        <w:shd w:val="clear" w:color="auto" w:fill="auto"/>
        <w:bidi w:val="0"/>
        <w:jc w:val="both"/>
        <w:spacing w:before="0" w:after="0" w:line="307" w:lineRule="exact"/>
        <w:ind w:left="20" w:right="20" w:firstLine="560"/>
      </w:pPr>
      <w:r>
        <w:rPr>
          <w:lang w:val="ru-RU" w:eastAsia="ru-RU" w:bidi="ru-RU"/>
          <w:sz w:val="24"/>
          <w:szCs w:val="24"/>
          <w:w w:val="100"/>
          <w:spacing w:val="0"/>
          <w:color w:val="000000"/>
          <w:position w:val="0"/>
        </w:rPr>
        <w:t>Функциональные характеристики (потребительские свойства), качественные характеристики товара, а также перечень конкретных показателей товара, позволяющих определить соответствие закупаемых товаров установленным заказчиком требованиям, которые должны быть представлены участником закупки, а также перечень необходимых к оказанию услуг указаны в пункте 2.2 Приложения № 1 документации об электронном аукционе «Техническая часть (Наименование и описание объекта закупки)» (далее - Техническое задание).</w:t>
      </w:r>
    </w:p>
    <w:p>
      <w:pPr>
        <w:pStyle w:val="Style13"/>
        <w:widowControl w:val="0"/>
        <w:keepNext w:val="0"/>
        <w:keepLines w:val="0"/>
        <w:shd w:val="clear" w:color="auto" w:fill="auto"/>
        <w:bidi w:val="0"/>
        <w:jc w:val="both"/>
        <w:spacing w:before="0" w:after="0" w:line="307" w:lineRule="exact"/>
        <w:ind w:left="20" w:right="20" w:firstLine="560"/>
        <w:sectPr>
          <w:type w:val="continuous"/>
          <w:pgSz w:w="11906" w:h="16838"/>
          <w:pgMar w:top="1723" w:left="1117" w:right="570" w:bottom="2462" w:header="0" w:footer="3" w:gutter="0"/>
          <w:rtlGutter w:val="0"/>
          <w:cols w:space="720"/>
          <w:noEndnote/>
          <w:docGrid w:linePitch="360"/>
        </w:sectPr>
      </w:pPr>
      <w:r>
        <w:rPr>
          <w:lang w:val="ru-RU" w:eastAsia="ru-RU" w:bidi="ru-RU"/>
          <w:sz w:val="24"/>
          <w:szCs w:val="24"/>
          <w:w w:val="100"/>
          <w:spacing w:val="0"/>
          <w:color w:val="000000"/>
          <w:position w:val="0"/>
        </w:rPr>
        <w:t>В соответствии с Техническим заданием объектом закупки являются Турникет- трипод напольный и Турникет роторный полноростовой.(далее — Товар).</w:t>
      </w:r>
      <w:r>
        <w:br w:type="page"/>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Вместе с тем, установленным требованиям в техническим характеристикам, по мнению заявителя, соответствует товар единственного производителя «ЗУ» Республики Беларусь, что ограничивает количество возможных участников закупки.</w:t>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Согласно протоколу рассмотрения первых частей заявок на участие в электронном аукционе от 21.10.2021 № 356/2 на участие в данной закупке подано 3 заявки - № 1 (идентификационный № 110581559), № 2 (идентификационный № 110720027), № 3 (идентификационный № 110581976).</w:t>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По итогам рассмотрения первых частей заявок на участие в электронном аукционе допущено 2 участника закупки № 1 (идентификационный № 110581559) и № 2 (идентификационный № 110720027).</w:t>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Комиссией рассмотрены первые части допущенных заявок на участие в электронном аукционе на предмет указания производителя.</w:t>
      </w:r>
    </w:p>
    <w:p>
      <w:pPr>
        <w:pStyle w:val="Style13"/>
        <w:widowControl w:val="0"/>
        <w:keepNext w:val="0"/>
        <w:keepLines w:val="0"/>
        <w:shd w:val="clear" w:color="auto" w:fill="auto"/>
        <w:bidi w:val="0"/>
        <w:jc w:val="both"/>
        <w:spacing w:before="0" w:after="0" w:line="307" w:lineRule="exact"/>
        <w:ind w:left="20" w:right="0" w:firstLine="560"/>
      </w:pPr>
      <w:r>
        <w:rPr>
          <w:lang w:val="ru-RU" w:eastAsia="ru-RU" w:bidi="ru-RU"/>
          <w:sz w:val="24"/>
          <w:szCs w:val="24"/>
          <w:w w:val="100"/>
          <w:spacing w:val="0"/>
          <w:color w:val="000000"/>
          <w:position w:val="0"/>
        </w:rPr>
        <w:t>Установлено, что у участников закупки указаны следующие производители Товара.</w:t>
      </w:r>
    </w:p>
    <w:p>
      <w:pPr>
        <w:pStyle w:val="Style13"/>
        <w:numPr>
          <w:ilvl w:val="0"/>
          <w:numId w:val="3"/>
        </w:numPr>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 xml:space="preserve"> № 1 (идентификационный № 110581559) производителем указан ООО «ТриВиТех», Республика Беларусь;</w:t>
      </w:r>
    </w:p>
    <w:p>
      <w:pPr>
        <w:pStyle w:val="Style13"/>
        <w:numPr>
          <w:ilvl w:val="0"/>
          <w:numId w:val="3"/>
        </w:numPr>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 xml:space="preserve"> № 2 (идентификационный № 110720027) ООО «Ростеврострой», Российская Федерация.</w:t>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Таким образом, установлено наличие двух производителей товаров, соответствующих установленным в аукционной документации требованиям.</w:t>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Также Комиссия отмечает, что Заявителем в материалы дела не представлены доказательства невозможности участия в Аукционе, в том числе невозможности приобретения товара с целью удовлетворения потребности Заказчика, в связи с чем Комиссия считает, что описание объекта закупки не повлияло на ограничение количества участников закупки.</w:t>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Кроме того, в силу части 9 статьи 105 Закона о контрактной системе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Отсюда следует, что обязанность доказывания нарушения своих прав и законных интересов лежит на подателе жалобы.</w:t>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Таким образом, описание объекта данной закупки является объективным и основано на потребности заказчика, целью которого является повышение эффективности осуществления закупки (эффективное использование источников финансирования), который должен соблюдаться наряду с принципом обеспечения конкуренции.</w:t>
      </w:r>
    </w:p>
    <w:p>
      <w:pPr>
        <w:pStyle w:val="Style13"/>
        <w:widowControl w:val="0"/>
        <w:keepNext w:val="0"/>
        <w:keepLines w:val="0"/>
        <w:shd w:val="clear" w:color="auto" w:fill="auto"/>
        <w:bidi w:val="0"/>
        <w:jc w:val="both"/>
        <w:spacing w:before="0" w:after="0" w:line="307" w:lineRule="exact"/>
        <w:ind w:left="20" w:right="40" w:firstLine="560"/>
      </w:pPr>
      <w:r>
        <w:rPr>
          <w:lang w:val="ru-RU" w:eastAsia="ru-RU" w:bidi="ru-RU"/>
          <w:sz w:val="24"/>
          <w:szCs w:val="24"/>
          <w:w w:val="100"/>
          <w:spacing w:val="0"/>
          <w:color w:val="000000"/>
          <w:position w:val="0"/>
        </w:rPr>
        <w:t>В соответствии со статьей 12 Закона о контрактной системе, установлен принцип ответственности заказчиков за результативность и эффективность государственных закупок, согласно которому заказчик при осуществлении закупок должен исходить из необходимости достижения заданных результатов. Также статьей 13 Закона о контрактной системе установлено, что осуществление закупок осуществляется с целью выполнения функций заказчика.</w:t>
      </w:r>
    </w:p>
    <w:p>
      <w:pPr>
        <w:pStyle w:val="Style13"/>
        <w:widowControl w:val="0"/>
        <w:keepNext w:val="0"/>
        <w:keepLines w:val="0"/>
        <w:shd w:val="clear" w:color="auto" w:fill="auto"/>
        <w:bidi w:val="0"/>
        <w:jc w:val="both"/>
        <w:spacing w:before="0" w:after="0" w:line="307" w:lineRule="exact"/>
        <w:ind w:left="20" w:right="0" w:firstLine="560"/>
      </w:pPr>
      <w:r>
        <w:rPr>
          <w:lang w:val="ru-RU" w:eastAsia="ru-RU" w:bidi="ru-RU"/>
          <w:sz w:val="24"/>
          <w:szCs w:val="24"/>
          <w:w w:val="100"/>
          <w:spacing w:val="0"/>
          <w:color w:val="000000"/>
          <w:position w:val="0"/>
        </w:rPr>
        <w:t>На основании вышеизложенного, довод Заявителя признается необоснованным.</w:t>
      </w:r>
    </w:p>
    <w:p>
      <w:pPr>
        <w:pStyle w:val="Style13"/>
        <w:tabs>
          <w:tab w:leader="none" w:pos="4233" w:val="left"/>
          <w:tab w:leader="none" w:pos="5442" w:val="left"/>
        </w:tabs>
        <w:widowControl w:val="0"/>
        <w:keepNext w:val="0"/>
        <w:keepLines w:val="0"/>
        <w:shd w:val="clear" w:color="auto" w:fill="auto"/>
        <w:bidi w:val="0"/>
        <w:jc w:val="both"/>
        <w:spacing w:before="0" w:after="0" w:line="307" w:lineRule="exact"/>
        <w:ind w:left="20" w:right="0" w:firstLine="560"/>
      </w:pPr>
      <w:r>
        <w:rPr>
          <w:lang w:val="ru-RU" w:eastAsia="ru-RU" w:bidi="ru-RU"/>
          <w:sz w:val="24"/>
          <w:szCs w:val="24"/>
          <w:w w:val="100"/>
          <w:spacing w:val="0"/>
          <w:color w:val="000000"/>
          <w:position w:val="0"/>
        </w:rPr>
        <w:t>Руководствуясь ст. 8, 33,</w:t>
        <w:tab/>
        <w:t>59, 99,</w:t>
        <w:tab/>
        <w:t>106 Закона о контрактной системе,</w:t>
      </w:r>
    </w:p>
    <w:p>
      <w:pPr>
        <w:pStyle w:val="Style13"/>
        <w:widowControl w:val="0"/>
        <w:keepNext w:val="0"/>
        <w:keepLines w:val="0"/>
        <w:shd w:val="clear" w:color="auto" w:fill="auto"/>
        <w:bidi w:val="0"/>
        <w:jc w:val="left"/>
        <w:spacing w:before="0" w:after="0" w:line="307" w:lineRule="exact"/>
        <w:ind w:left="20" w:right="0" w:firstLine="0"/>
        <w:sectPr>
          <w:type w:val="continuous"/>
          <w:pgSz w:w="11906" w:h="16838"/>
          <w:pgMar w:top="1619" w:left="836" w:right="836" w:bottom="1931" w:header="0" w:footer="3" w:gutter="0"/>
          <w:rtlGutter w:val="0"/>
          <w:cols w:space="720"/>
          <w:noEndnote/>
          <w:docGrid w:linePitch="360"/>
        </w:sectPr>
      </w:pPr>
      <w:r>
        <w:rPr>
          <w:lang w:val="ru-RU" w:eastAsia="ru-RU" w:bidi="ru-RU"/>
          <w:sz w:val="24"/>
          <w:szCs w:val="24"/>
          <w:w w:val="100"/>
          <w:spacing w:val="0"/>
          <w:color w:val="000000"/>
          <w:position w:val="0"/>
        </w:rPr>
        <w:t>Административным регламентом, Комиссия</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53" w:lineRule="exact"/>
      </w:pPr>
    </w:p>
    <w:p>
      <w:pPr>
        <w:widowControl w:val="0"/>
        <w:rPr>
          <w:sz w:val="2"/>
          <w:szCs w:val="2"/>
        </w:rPr>
        <w:sectPr>
          <w:type w:val="continuous"/>
          <w:pgSz w:w="11906" w:h="16838"/>
          <w:pgMar w:top="78" w:left="54" w:right="54" w:bottom="78" w:header="0" w:footer="3" w:gutter="0"/>
          <w:rtlGutter w:val="0"/>
          <w:cols w:space="720"/>
          <w:noEndnote/>
          <w:docGrid w:linePitch="360"/>
        </w:sectPr>
      </w:pPr>
    </w:p>
    <w:p>
      <w:pPr>
        <w:pStyle w:val="Style13"/>
        <w:widowControl w:val="0"/>
        <w:keepNext w:val="0"/>
        <w:keepLines w:val="0"/>
        <w:shd w:val="clear" w:color="auto" w:fill="auto"/>
        <w:bidi w:val="0"/>
        <w:jc w:val="left"/>
        <w:spacing w:before="0" w:after="325" w:line="240" w:lineRule="exact"/>
        <w:ind w:left="4480" w:right="0" w:firstLine="0"/>
      </w:pPr>
      <w:r>
        <w:rPr>
          <w:lang w:val="ru-RU" w:eastAsia="ru-RU" w:bidi="ru-RU"/>
          <w:sz w:val="24"/>
          <w:szCs w:val="24"/>
          <w:w w:val="100"/>
          <w:spacing w:val="0"/>
          <w:color w:val="000000"/>
          <w:position w:val="0"/>
        </w:rPr>
        <w:t>РЕШИЛА:</w:t>
      </w:r>
    </w:p>
    <w:p>
      <w:pPr>
        <w:pStyle w:val="Style13"/>
        <w:numPr>
          <w:ilvl w:val="0"/>
          <w:numId w:val="5"/>
        </w:numPr>
        <w:tabs>
          <w:tab w:leader="none" w:pos="1094" w:val="left"/>
        </w:tabs>
        <w:widowControl w:val="0"/>
        <w:keepNext w:val="0"/>
        <w:keepLines w:val="0"/>
        <w:shd w:val="clear" w:color="auto" w:fill="auto"/>
        <w:bidi w:val="0"/>
        <w:jc w:val="both"/>
        <w:spacing w:before="0" w:after="602" w:line="317" w:lineRule="exact"/>
        <w:ind w:left="20" w:right="340" w:firstLine="720"/>
      </w:pPr>
      <w:r>
        <w:rPr>
          <w:lang w:val="ru-RU" w:eastAsia="ru-RU" w:bidi="ru-RU"/>
          <w:sz w:val="24"/>
          <w:szCs w:val="24"/>
          <w:w w:val="100"/>
          <w:spacing w:val="0"/>
          <w:color w:val="000000"/>
          <w:position w:val="0"/>
        </w:rPr>
        <w:t>Признать жалобу ООО «ВАККО» на действия ФКУ «СЗОУМТС МВД России» при проведении электронного аукциона на поставку средств антитеррористической защищенности в рамках Государственного оборонного заказа (номер извещения 0372100047321000277)— необоснованной;</w:t>
      </w:r>
    </w:p>
    <w:p>
      <w:pPr>
        <w:pStyle w:val="Style13"/>
        <w:widowControl w:val="0"/>
        <w:keepNext w:val="0"/>
        <w:keepLines w:val="0"/>
        <w:shd w:val="clear" w:color="auto" w:fill="auto"/>
        <w:bidi w:val="0"/>
        <w:jc w:val="left"/>
        <w:spacing w:before="0" w:after="602" w:line="240" w:lineRule="exact"/>
        <w:ind w:left="20" w:right="0" w:firstLine="0"/>
      </w:pPr>
      <w:r>
        <w:rPr>
          <w:lang w:val="ru-RU" w:eastAsia="ru-RU" w:bidi="ru-RU"/>
          <w:sz w:val="24"/>
          <w:szCs w:val="24"/>
          <w:w w:val="100"/>
          <w:spacing w:val="0"/>
          <w:color w:val="000000"/>
          <w:position w:val="0"/>
        </w:rPr>
        <w:t>Заместитель председателя Комиссии</w:t>
      </w:r>
    </w:p>
    <w:p>
      <w:pPr>
        <w:pStyle w:val="Style13"/>
        <w:widowControl w:val="0"/>
        <w:keepNext w:val="0"/>
        <w:keepLines w:val="0"/>
        <w:shd w:val="clear" w:color="auto" w:fill="auto"/>
        <w:bidi w:val="0"/>
        <w:jc w:val="left"/>
        <w:spacing w:before="0" w:after="1445" w:line="240" w:lineRule="exact"/>
        <w:ind w:left="20" w:right="0" w:firstLine="0"/>
      </w:pPr>
      <w:r>
        <w:rPr>
          <w:lang w:val="ru-RU" w:eastAsia="ru-RU" w:bidi="ru-RU"/>
          <w:sz w:val="24"/>
          <w:szCs w:val="24"/>
          <w:w w:val="100"/>
          <w:spacing w:val="0"/>
          <w:color w:val="000000"/>
          <w:position w:val="0"/>
        </w:rPr>
        <w:t>Члены Комиссии</w:t>
      </w:r>
    </w:p>
    <w:p>
      <w:pPr>
        <w:pStyle w:val="Style13"/>
        <w:widowControl w:val="0"/>
        <w:keepNext w:val="0"/>
        <w:keepLines w:val="0"/>
        <w:shd w:val="clear" w:color="auto" w:fill="auto"/>
        <w:bidi w:val="0"/>
        <w:jc w:val="both"/>
        <w:spacing w:before="0" w:after="0" w:line="336" w:lineRule="exact"/>
        <w:ind w:left="20" w:right="340" w:firstLine="720"/>
      </w:pPr>
      <w:r>
        <w:rPr>
          <w:lang w:val="ru-RU" w:eastAsia="ru-RU" w:bidi="ru-RU"/>
          <w:sz w:val="24"/>
          <w:szCs w:val="24"/>
          <w:w w:val="100"/>
          <w:spacing w:val="0"/>
          <w:color w:val="000000"/>
          <w:position w:val="0"/>
        </w:rPr>
        <w:t>Настоящее решение может быть обжаловано в судебном порядке в течение трёх месяцев со дня принятия.</w:t>
      </w:r>
      <w:r>
        <w:br w:type="page"/>
      </w:r>
    </w:p>
    <w:sectPr>
      <w:type w:val="continuous"/>
      <w:pgSz w:w="11906" w:h="16838"/>
      <w:pgMar w:top="2051" w:left="1184" w:right="200" w:bottom="8934"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 (4)_"/>
    <w:basedOn w:val="DefaultParagraphFont"/>
    <w:link w:val="Style7"/>
    <w:rPr>
      <w:b w:val="0"/>
      <w:bCs w:val="0"/>
      <w:i w:val="0"/>
      <w:iCs w:val="0"/>
      <w:u w:val="none"/>
      <w:strike w:val="0"/>
      <w:smallCaps w:val="0"/>
      <w:sz w:val="14"/>
      <w:szCs w:val="14"/>
      <w:rFonts w:ascii="Microsoft Sans Serif" w:eastAsia="Microsoft Sans Serif" w:hAnsi="Microsoft Sans Serif" w:cs="Microsoft Sans Serif"/>
    </w:rPr>
  </w:style>
  <w:style w:type="character" w:customStyle="1" w:styleId="CharStyle10">
    <w:name w:val="Основной текст (5)_"/>
    <w:basedOn w:val="DefaultParagraphFont"/>
    <w:link w:val="Style9"/>
    <w:rPr>
      <w:b/>
      <w:bCs/>
      <w:i w:val="0"/>
      <w:iCs w:val="0"/>
      <w:u w:val="none"/>
      <w:strike w:val="0"/>
      <w:smallCaps w:val="0"/>
      <w:sz w:val="18"/>
      <w:szCs w:val="18"/>
      <w:rFonts w:ascii="Times New Roman" w:eastAsia="Times New Roman" w:hAnsi="Times New Roman" w:cs="Times New Roman"/>
    </w:rPr>
  </w:style>
  <w:style w:type="character" w:customStyle="1" w:styleId="CharStyle12">
    <w:name w:val="Штрих-код (2)_"/>
    <w:basedOn w:val="DefaultParagraphFont"/>
    <w:link w:val="Style11"/>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spacing w:val="3"/>
    </w:rPr>
  </w:style>
  <w:style w:type="character" w:customStyle="1" w:styleId="CharStyle17">
    <w:name w:val="Заголовок №1_"/>
    <w:basedOn w:val="DefaultParagraphFont"/>
    <w:link w:val="Style16"/>
    <w:rPr>
      <w:b w:val="0"/>
      <w:bCs w:val="0"/>
      <w:i w:val="0"/>
      <w:iCs w:val="0"/>
      <w:u w:val="none"/>
      <w:strike w:val="0"/>
      <w:smallCaps w:val="0"/>
      <w:sz w:val="26"/>
      <w:szCs w:val="26"/>
      <w:rFonts w:ascii="Impact" w:eastAsia="Impact" w:hAnsi="Impact" w:cs="Impact"/>
      <w:spacing w:val="80"/>
    </w:rPr>
  </w:style>
  <w:style w:type="paragraph" w:customStyle="1" w:styleId="Style3">
    <w:name w:val="Основной текст (2)"/>
    <w:basedOn w:val="Normal"/>
    <w:link w:val="CharStyle4"/>
    <w:pPr>
      <w:widowControl w:val="0"/>
      <w:shd w:val="clear" w:color="auto" w:fill="FFFFFF"/>
      <w:jc w:val="center"/>
      <w:spacing w:before="120" w:after="120" w:line="288" w:lineRule="exact"/>
    </w:pPr>
    <w:rPr>
      <w:b/>
      <w:bCs/>
      <w:i w:val="0"/>
      <w:iCs w:val="0"/>
      <w:u w:val="none"/>
      <w:strike w:val="0"/>
      <w:smallCaps w:val="0"/>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120" w:line="197"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spacing w:before="120" w:line="178" w:lineRule="exact"/>
      <w:ind w:hanging="260"/>
    </w:pPr>
    <w:rPr>
      <w:b w:val="0"/>
      <w:bCs w:val="0"/>
      <w:i w:val="0"/>
      <w:iCs w:val="0"/>
      <w:u w:val="none"/>
      <w:strike w:val="0"/>
      <w:smallCaps w:val="0"/>
      <w:sz w:val="14"/>
      <w:szCs w:val="14"/>
      <w:rFonts w:ascii="Microsoft Sans Serif" w:eastAsia="Microsoft Sans Serif" w:hAnsi="Microsoft Sans Serif" w:cs="Microsoft Sans Serif"/>
    </w:rPr>
  </w:style>
  <w:style w:type="paragraph" w:customStyle="1" w:styleId="Style9">
    <w:name w:val="Основной текст (5)"/>
    <w:basedOn w:val="Normal"/>
    <w:link w:val="CharStyle10"/>
    <w:pPr>
      <w:widowControl w:val="0"/>
      <w:shd w:val="clear" w:color="auto" w:fill="FFFFFF"/>
      <w:spacing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1">
    <w:name w:val="Штрих-код (2)"/>
    <w:basedOn w:val="Normal"/>
    <w:link w:val="CharStyle12"/>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spacing w:after="240" w:line="302" w:lineRule="exact"/>
    </w:pPr>
    <w:rPr>
      <w:b w:val="0"/>
      <w:bCs w:val="0"/>
      <w:i w:val="0"/>
      <w:iCs w:val="0"/>
      <w:u w:val="none"/>
      <w:strike w:val="0"/>
      <w:smallCaps w:val="0"/>
      <w:rFonts w:ascii="Times New Roman" w:eastAsia="Times New Roman" w:hAnsi="Times New Roman" w:cs="Times New Roman"/>
    </w:rPr>
  </w:style>
  <w:style w:type="paragraph" w:customStyle="1" w:styleId="Style16">
    <w:name w:val="Заголовок №1"/>
    <w:basedOn w:val="Normal"/>
    <w:link w:val="CharStyle17"/>
    <w:pPr>
      <w:widowControl w:val="0"/>
      <w:shd w:val="clear" w:color="auto" w:fill="FFFFFF"/>
      <w:outlineLvl w:val="0"/>
      <w:spacing w:line="0" w:lineRule="exact"/>
    </w:pPr>
    <w:rPr>
      <w:b w:val="0"/>
      <w:bCs w:val="0"/>
      <w:i w:val="0"/>
      <w:iCs w:val="0"/>
      <w:u w:val="none"/>
      <w:strike w:val="0"/>
      <w:smallCaps w:val="0"/>
      <w:sz w:val="26"/>
      <w:szCs w:val="26"/>
      <w:rFonts w:ascii="Impact" w:eastAsia="Impact" w:hAnsi="Impact" w:cs="Impact"/>
      <w:spacing w:val="8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