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59"/>
        <w:ind w:left="534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«МНПЦ борьбы с туберкулезом ДЗМ»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32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Стромынка, д. 10, г. Москва, 107014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10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«МОСВОДОУЧЕТ»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833" w:line="288" w:lineRule="exact"/>
        <w:ind w:left="534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Хабаровская, д. 18, корп. 2, кв. 351, г. Москва</w:t>
      </w:r>
    </w:p>
    <w:p>
      <w:pPr>
        <w:pStyle w:val="Style8"/>
        <w:tabs>
          <w:tab w:leader="none" w:pos="9146" w:val="right"/>
          <w:tab w:leader="none" w:pos="1019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 w:firstLine="43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№077/06/106-19046/2021 о нарушении законодательства о контрактной системе 26.10.2021</w:t>
        <w:tab/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главного государственного инспектора отдела обжалования государственных закупок С.И. Казарина,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В.А. Матвеева,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первого разряда отдела обжалования государственных закупок Э.З. Гугава,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рассмотрение жалобы проводилось дистанционно (посредством конференц</w:t>
        <w:softHyphen/>
        <w:t xml:space="preserve">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 ООО «МОСВОДОУЧЕТ», ГБУЗ «МН</w:t>
      </w:r>
      <w:r>
        <w:rPr>
          <w:rStyle w:val="CharStyle10"/>
        </w:rPr>
        <w:t>ПЦ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борьбы с туберкулезом ДЗМ»,</w:t>
      </w:r>
    </w:p>
    <w:p>
      <w:pPr>
        <w:pStyle w:val="Style3"/>
        <w:framePr w:w="1685" w:h="394" w:wrap="around" w:vAnchor="text" w:hAnchor="margin" w:x="375" w:y="342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000026307287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«МОСВОДОУЧЕТ» (далее - Заявитель) на действия ГБУЗ «МН</w:t>
      </w:r>
      <w:r>
        <w:rPr>
          <w:rStyle w:val="CharStyle10"/>
        </w:rPr>
        <w:t>ПЦ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борьбы с туберкулезом ДЗМ» (далее — Заказчик) при проведении электронного аукциона на право заключения государственного контракта на выполнение работ по онтаж систем охлаждения (сплит-систем) в филиалах ГБУЗ «МН</w:t>
      </w:r>
      <w:r>
        <w:rPr>
          <w:rStyle w:val="CharStyle10"/>
        </w:rPr>
        <w:t>ПЦ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борьбы с туберкулезом ДЗМ» (Закупка № 0373200059721000398)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в соответствии с Административным регламентом, утвержденным Приказом ФАС России от 19.11.2014 № 727/14,</w:t>
      </w:r>
      <w:r>
        <w:br w:type="page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указанного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Заказчиком представлены документы и сведения, запрашиваемые письмом Московского УФАС России № ЕИ/64869/21 от 22.10.2021.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аукционной комиссии Заказчика, выразившиеся в отказе в допуске Заявителю к участию в вышеуказанном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рассмотрения заявок на участие в электронном аукционе от 15.10.2021 №0373200059721000398-1 Заявителю (номер заявки 3) отказано в допуске к участию в аукционе на следующем основании: «п. 2. ч. 4 ст. 67 - несоответствие информации, предусмотренной ч. 3 ст. 66 44-ФЗ, требованиям документации о таком аукционе: в п. 4 и п.7 Участник предлагает к поставке кондиционеры с отсутствием системы антиобледенения, что не соответствует требованиям аукционной документации».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ст.33 Закона о контрактной системе, в том числе обоснование начальной (максимальной) цены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п.2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ч.3-6 ст.66 Закона о контрактной системе и инструкцию по ее заполнению.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ч.2 ст.33 Закона о контрактной системе документация о закупке в соответствии с требованиями, указанными в ч. 1 ст.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показателей,а также значения показателей, которые не могут изменяться.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Заказчиком в технической части аукционной документации установлены требования к товарам, требуемым к поставке, в частности по п. 4, п. 7 «Монтаж сплит-системы настенной»: «Наличие системы антиобледенения: Да».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ч.3 ст.66 Закона о контрактной системе первая часть заявки на участие в электронном аукционе, за исключением случая, предусмотренного ч.3.1 ст. 66 Закона о контрактной системе, должна содержать: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</w:t>
        <w:softHyphen/>
        <w:t>аппаратных средств электронной площадки);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наименование страны происхождения товара;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>
      <w:pPr>
        <w:pStyle w:val="Style5"/>
        <w:tabs>
          <w:tab w:leader="none" w:pos="6052" w:val="left"/>
          <w:tab w:leader="none" w:pos="6208" w:val="left"/>
          <w:tab w:leader="none" w:pos="8354" w:val="right"/>
          <w:tab w:leader="none" w:pos="1020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ч.1 ст.67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ч. 3 ст. 66 Закона о контрактной системе, на соответствие требованиям, установленным документацией</w:t>
        <w:tab/>
        <w:t>о</w:t>
        <w:tab/>
        <w:t>таком</w:t>
        <w:tab/>
        <w:t>аукционе</w:t>
        <w:tab/>
        <w:t>в отношении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закупаемых товаров, работ, услуг.</w:t>
      </w:r>
    </w:p>
    <w:p>
      <w:pPr>
        <w:pStyle w:val="Style5"/>
        <w:tabs>
          <w:tab w:leader="none" w:pos="6052" w:val="left"/>
          <w:tab w:leader="none" w:pos="8354" w:val="right"/>
          <w:tab w:leader="none" w:pos="1020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установлено, что в составе первой части заявки Заявителя выражено согласие на</w:t>
        <w:tab/>
        <w:t>поставку</w:t>
        <w:tab/>
        <w:t>товаров</w:t>
        <w:tab/>
        <w:t>на условиях,</w:t>
      </w:r>
    </w:p>
    <w:p>
      <w:pPr>
        <w:pStyle w:val="Style5"/>
        <w:tabs>
          <w:tab w:leader="none" w:pos="6179" w:val="left"/>
          <w:tab w:leader="none" w:pos="6130" w:val="left"/>
          <w:tab w:leader="none" w:pos="835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предусмотренных аукционной документацией,</w:t>
        <w:tab/>
        <w:t>а</w:t>
        <w:tab/>
        <w:t>также</w:t>
        <w:tab/>
        <w:t>представлены сведения о</w:t>
      </w:r>
    </w:p>
    <w:p>
      <w:pPr>
        <w:pStyle w:val="Style5"/>
        <w:tabs>
          <w:tab w:leader="none" w:pos="6052" w:val="left"/>
          <w:tab w:leader="none" w:pos="6198" w:val="left"/>
          <w:tab w:leader="none" w:pos="8354" w:val="right"/>
          <w:tab w:leader="none" w:pos="1020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поставляемых товарах, в частности по п.</w:t>
        <w:tab/>
        <w:t>4,</w:t>
        <w:tab/>
        <w:t>п. 7</w:t>
        <w:tab/>
        <w:t>«Монтаж</w:t>
        <w:tab/>
        <w:t>сплит-системы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настенной»: «Наличие системы антиобледенения: Нет», что не соответствует требованиям технического задания аукционной документации, поскольку по вышеуказанным позициям система антиобледенения должна присутствовать.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в обоснование своих доводов Заявитель указывает на то, что аукционная документация сформирована в нарушение положений Закона о контрактной системе, в частности, что Заказчиком неправомерно сформированы требования к поставляемым товарам.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указанный довод не может быть рассмотрен Комиссией Управления при рассмотрении жалобы на действия аукционной комиссии Заказчика, так как обжалование положений аукционной документации возможно согласно ч.4 ст.105 Закона о контрактной системе до окончания срока подачи заявок на участие в электронном аукционе, а не на этапе их рассмотрения.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в установленные сроки Заявитель не воспользовался своим правом и не обжаловал положения аукционной документации, что указывает на то, что, выражая свое согласие на поставку товаров на условиях, установленных аукционной документацией, при подаче заявки на участие в электронном аукционе, Заявитель был согласен со всеми установленными Заказчиком требованиями.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предложение Заявителя не соответствует требованиям</w:t>
        <w:br w:type="page"/>
        <w:t>аукционной документации и Закону о контрактной системе, поскольку участником закупки указано значение, не соответствующее требованиям аукционной документации.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у Комиссии Управления отсутствуют правовые основания для признания аукционной комиссии Заказчика нарушившей требования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Ч.4 ст. 67 Закона о контрактной системе установлено, что участник электронного аукциона не допускается к участию в нем в случае: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информации, предусмотренной ч.3 ст. 66 Закона о контрактной системе, или предоставления недостоверной информации;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информации, предусмотренной ч.3 ст. 66 Закона о контрактной системе, требованиям документации о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выводу, что у аукционной комиссии Заказчика имелись основания для отказа в допуске Заявителю к участию в аукционе, и решение аукционной комиссии Заказчика в части отказа в допуске Заявителю к участию в аукционе является правомерным.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 727/14 Законом о контрактной системе, Комиссия Управления,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4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ООО «МОСВОДОУЧЕТ» на действия аукционной комиссии ГБУЗ «МН</w:t>
      </w:r>
      <w:r>
        <w:rPr>
          <w:rStyle w:val="CharStyle10"/>
        </w:rPr>
        <w:t>ПЦ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борьбы с туберкулезом ДЗМ» необоснованной.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Снять ограничения, наложенные на определение поставщика (подрядчика, исполнителя) письмом Московского УФАС России (исх.№ ЕИ/64869/21 от 22.10.2021).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18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гл. 24 АПК РФ.</w:t>
      </w:r>
    </w:p>
    <w:p>
      <w:pPr>
        <w:pStyle w:val="Style5"/>
        <w:framePr w:w="1744" w:h="1301" w:wrap="around" w:vAnchor="text" w:hAnchor="margin" w:x="8416" w:y="-153"/>
        <w:widowControl w:val="0"/>
        <w:keepNext w:val="0"/>
        <w:keepLines w:val="0"/>
        <w:shd w:val="clear" w:color="auto" w:fill="auto"/>
        <w:bidi w:val="0"/>
        <w:jc w:val="right"/>
        <w:spacing w:before="0" w:after="0" w:line="432" w:lineRule="exact"/>
        <w:ind w:left="140" w:right="20" w:firstLine="0"/>
      </w:pPr>
      <w:r>
        <w:rPr>
          <w:rStyle w:val="CharStyle6"/>
          <w:spacing w:val="0"/>
        </w:rPr>
        <w:t>С.И. Казарин В.А. Матвеев Э.З. Гугава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738" w:line="427" w:lineRule="exact"/>
        <w:ind w:left="20" w:right="39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 Члены Комиссии: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7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Гугава Эдуард Звиадович 8 (495)784-75-05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075" w:left="850" w:right="827" w:bottom="10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7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Основной текст"/>
    <w:basedOn w:val="CharStyle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(3)_"/>
    <w:basedOn w:val="DefaultParagraphFont"/>
    <w:link w:val="Style11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7"/>
    <w:pPr>
      <w:widowControl w:val="0"/>
      <w:shd w:val="clear" w:color="auto" w:fill="FFFFFF"/>
      <w:spacing w:after="240" w:line="28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spacing w:before="186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spacing w:before="2580" w:line="23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