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8" w:left="3008" w:right="7904" w:bottom="75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70" w:wrap="around" w:vAnchor="text" w:hAnchor="margin" w:x="1967" w:y="320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1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35-53-55, факс (4942) 35-53-55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119" w:line="280" w:lineRule="exact"/>
        <w:ind w:left="0" w:right="0" w:firstLine="0"/>
      </w:pPr>
      <w:bookmarkStart w:id="0" w:name="bookmark0"/>
      <w:r>
        <w:rPr>
          <w:rStyle w:val="CharStyle10"/>
          <w:i/>
          <w:iCs/>
        </w:rPr>
        <w:t>й\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rStyle w:val="CharStyle13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6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Муниципальное казенное учреждение города Костромы «Городская служба захоронений» 156002, г. Кострома, ул. Депутатская, д. 47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"mailto:mku.gsz@yandex.ru"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mku.gsz@yandex.ru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 Муниципальное казенное учреждение города Костромы «Агентство муниципальных закупок»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156002, г. Кострома, ул. Депутатская, д. 47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"mailto:KulikovaYV@gradkostroma.ru"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KulikovaYV@gradkostroma.ru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«РТС-тендер»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«Контракт»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354003, г. Сочи, пер. Вишневый, д. 85Б, пом. </w:t>
      </w:r>
      <w:r>
        <w:rPr>
          <w:rStyle w:val="CharStyle14"/>
        </w:rPr>
        <w:t>12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713" w:left="1290" w:right="1079" w:bottom="742" w:header="0" w:footer="3" w:gutter="0"/>
          <w:rtlGutter w:val="0"/>
          <w:cols w:num="2" w:space="149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"mailto:skvconsultor@gmail.com"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skvconsultor@gmail.com</w:t>
      </w:r>
      <w:r>
        <w:fldChar w:fldCharType="end"/>
      </w: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728" w:left="3767" w:right="3609" w:bottom="7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044/06/105-488/2021</w:t>
      </w:r>
    </w:p>
    <w:p>
      <w:pPr>
        <w:widowControl w:val="0"/>
        <w:spacing w:line="30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21" w:wrap="around" w:vAnchor="text" w:hAnchor="margin" w:x="8351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г. Кострома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1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октября 2021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- Комиссия Костромского УФАС России; Комиссия) в составе:</w:t>
      </w:r>
    </w:p>
    <w:p>
      <w:pPr>
        <w:pStyle w:val="Style11"/>
        <w:tabs>
          <w:tab w:leader="none" w:pos="9641" w:val="right"/>
          <w:tab w:leader="none" w:pos="96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Ревельцев</w:t>
        <w:tab/>
        <w:t>О.В.;</w:t>
      </w:r>
    </w:p>
    <w:p>
      <w:pPr>
        <w:pStyle w:val="Style11"/>
        <w:tabs>
          <w:tab w:leader="none" w:pos="9070" w:val="right"/>
          <w:tab w:leader="none" w:pos="96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Шерстова</w:t>
        <w:tab/>
        <w:t>А.С.;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Пугачева А.В.,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Костромского УФАС России по контролю в сфере закупок от 28 октября 2021 года по делу № 044/06/105-488/2021, принятого по результатам рассмотрения жалобы ООО «Контракт» на положения аукционной документации при проведении закупки № 0841300009021000421 и проведенной Комиссией Костромского УФАС России, руководствуясь частью 22 статьи 99 Федерального закона от 21.07.2005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внеплановой проверки,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03" w:line="2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Муниципальному казенному учреждению города Костромы «Еородская служба захоронений» (далее Заказчик) прекратить нарушение пункта 1 части 1 статьи 33, часть 11 статьи 34, части 3 статьи 64 Закона о контрактной системе в срок до </w:t>
      </w:r>
      <w:r>
        <w:rPr>
          <w:rStyle w:val="CharStyle16"/>
        </w:rPr>
        <w:t xml:space="preserve">26 ноября 2021 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путем аннулирования определения поставщика (подрядчика, исполнителя).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ООО «РТС-тендер», обеспечить возможность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исполнения настоящего предписания.</w:t>
      </w:r>
      <w:r>
        <w:br w:type="page"/>
      </w:r>
    </w:p>
    <w:p>
      <w:pPr>
        <w:pStyle w:val="Style11"/>
        <w:numPr>
          <w:ilvl w:val="0"/>
          <w:numId w:val="1"/>
        </w:numPr>
        <w:tabs>
          <w:tab w:leader="none" w:pos="11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о выполнении настоящего предписания сообщить в срок, не превышающий трех рабочих дней с момента его исполнения, представив подтверждающие документы в Костромское УФАС России в письменном виде или по факсимильной связи (4942) 355-355, или по электронной почте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1115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3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5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094" w:left="1069" w:right="1040" w:bottom="11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/>
      <w:iCs/>
      <w:u w:val="none"/>
      <w:strike w:val="0"/>
      <w:smallCaps w:val="0"/>
      <w:sz w:val="28"/>
      <w:szCs w:val="28"/>
      <w:rFonts w:ascii="Verdana" w:eastAsia="Verdana" w:hAnsi="Verdana" w:cs="Verdana"/>
      <w:spacing w:val="-40"/>
    </w:rPr>
  </w:style>
  <w:style w:type="character" w:customStyle="1" w:styleId="CharStyle10">
    <w:name w:val="Заголовок №1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+ 11 pt"/>
    <w:basedOn w:val="CharStyle12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16">
    <w:name w:val="Основной текст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35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right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Verdana" w:eastAsia="Verdana" w:hAnsi="Verdana" w:cs="Verdana"/>
      <w:spacing w:val="-40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