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7" w:line="260" w:lineRule="exact"/>
        <w:ind w:left="100" w:right="0" w:firstLine="5300"/>
      </w:pPr>
      <w:r>
        <w:rPr>
          <w:lang w:val="ru-RU" w:eastAsia="ru-RU" w:bidi="ru-RU"/>
          <w:w w:val="100"/>
          <w:spacing w:val="0"/>
          <w:color w:val="000000"/>
          <w:position w:val="0"/>
        </w:rPr>
        <w:t>ГБУЗ «ДГП №132 ДЗМ»</w:t>
      </w:r>
    </w:p>
    <w:p>
      <w:pPr>
        <w:pStyle w:val="Style5"/>
        <w:widowControl w:val="0"/>
        <w:keepNext w:val="0"/>
        <w:keepLines w:val="0"/>
        <w:shd w:val="clear" w:color="auto" w:fill="auto"/>
        <w:bidi w:val="0"/>
        <w:jc w:val="left"/>
        <w:spacing w:before="0" w:after="346" w:line="317" w:lineRule="exact"/>
        <w:ind w:left="5420" w:right="120" w:firstLine="0"/>
      </w:pPr>
      <w:r>
        <w:rPr>
          <w:lang w:val="ru-RU" w:eastAsia="ru-RU" w:bidi="ru-RU"/>
          <w:w w:val="100"/>
          <w:spacing w:val="0"/>
          <w:color w:val="000000"/>
          <w:position w:val="0"/>
        </w:rPr>
        <w:t>Новоорловская, д. 2 , корп. 1, г. Москва, 119633</w:t>
      </w:r>
    </w:p>
    <w:p>
      <w:pPr>
        <w:pStyle w:val="Style5"/>
        <w:widowControl w:val="0"/>
        <w:keepNext w:val="0"/>
        <w:keepLines w:val="0"/>
        <w:shd w:val="clear" w:color="auto" w:fill="auto"/>
        <w:bidi w:val="0"/>
        <w:jc w:val="left"/>
        <w:spacing w:before="0" w:after="307" w:line="260" w:lineRule="exact"/>
        <w:ind w:left="100" w:right="0" w:firstLine="5300"/>
      </w:pPr>
      <w:r>
        <w:rPr>
          <w:lang w:val="ru-RU" w:eastAsia="ru-RU" w:bidi="ru-RU"/>
          <w:w w:val="100"/>
          <w:spacing w:val="0"/>
          <w:color w:val="000000"/>
          <w:position w:val="0"/>
        </w:rPr>
        <w:t>ООО «Медикал Сервис»</w:t>
      </w:r>
    </w:p>
    <w:p>
      <w:pPr>
        <w:pStyle w:val="Style5"/>
        <w:widowControl w:val="0"/>
        <w:keepNext w:val="0"/>
        <w:keepLines w:val="0"/>
        <w:shd w:val="clear" w:color="auto" w:fill="auto"/>
        <w:bidi w:val="0"/>
        <w:jc w:val="left"/>
        <w:spacing w:before="0" w:after="346" w:line="317" w:lineRule="exact"/>
        <w:ind w:left="5420" w:right="120" w:firstLine="0"/>
      </w:pPr>
      <w:r>
        <w:rPr>
          <w:lang w:val="ru-RU" w:eastAsia="ru-RU" w:bidi="ru-RU"/>
          <w:w w:val="100"/>
          <w:spacing w:val="0"/>
          <w:color w:val="000000"/>
          <w:position w:val="0"/>
        </w:rPr>
        <w:t>Дербеневская наб., д. 7, стр. 2, эт. 3, пом. I, ком. 35 (РМ29), г. Москва, 115114</w:t>
      </w:r>
    </w:p>
    <w:p>
      <w:pPr>
        <w:pStyle w:val="Style5"/>
        <w:widowControl w:val="0"/>
        <w:keepNext w:val="0"/>
        <w:keepLines w:val="0"/>
        <w:shd w:val="clear" w:color="auto" w:fill="auto"/>
        <w:bidi w:val="0"/>
        <w:jc w:val="left"/>
        <w:spacing w:before="0" w:after="303" w:line="260" w:lineRule="exact"/>
        <w:ind w:left="100" w:right="0" w:firstLine="5300"/>
      </w:pPr>
      <w:r>
        <w:rPr>
          <w:lang w:val="ru-RU" w:eastAsia="ru-RU" w:bidi="ru-RU"/>
          <w:w w:val="100"/>
          <w:spacing w:val="0"/>
          <w:color w:val="000000"/>
          <w:position w:val="0"/>
        </w:rPr>
        <w:t>АО «ЕЭТП»</w:t>
      </w:r>
    </w:p>
    <w:p>
      <w:pPr>
        <w:pStyle w:val="Style7"/>
        <w:tabs>
          <w:tab w:leader="none" w:pos="8985" w:val="left"/>
        </w:tabs>
        <w:widowControl w:val="0"/>
        <w:keepNext w:val="0"/>
        <w:keepLines w:val="0"/>
        <w:shd w:val="clear" w:color="auto" w:fill="auto"/>
        <w:bidi w:val="0"/>
        <w:jc w:val="left"/>
        <w:spacing w:before="0" w:after="0"/>
        <w:ind w:left="100" w:right="20"/>
      </w:pPr>
      <w:r>
        <w:rPr>
          <w:rStyle w:val="CharStyle9"/>
          <w:b w:val="0"/>
          <w:bCs w:val="0"/>
        </w:rPr>
        <w:t xml:space="preserve">ул. Кожевническая, д. 14, стр. 5, г. Москва, 115114 </w:t>
      </w:r>
      <w:r>
        <w:rPr>
          <w:lang w:val="ru-RU" w:eastAsia="ru-RU" w:bidi="ru-RU"/>
          <w:w w:val="100"/>
          <w:spacing w:val="0"/>
          <w:color w:val="000000"/>
          <w:position w:val="0"/>
        </w:rPr>
        <w:t>ПРЕДПИСАНИЕ по делу № 077/06/106-19056/2021 об устранении нарушений законодательства о контрактной системе 26.10.2021</w:t>
        <w:tab/>
        <w:t>г. Москва</w:t>
      </w:r>
    </w:p>
    <w:p>
      <w:pPr>
        <w:pStyle w:val="Style5"/>
        <w:widowControl w:val="0"/>
        <w:keepNext w:val="0"/>
        <w:keepLines w:val="0"/>
        <w:shd w:val="clear" w:color="auto" w:fill="auto"/>
        <w:bidi w:val="0"/>
        <w:jc w:val="both"/>
        <w:spacing w:before="0" w:after="0" w:line="322" w:lineRule="exact"/>
        <w:ind w:left="10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10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10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10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22" w:lineRule="exact"/>
        <w:ind w:left="100" w:right="0" w:firstLine="700"/>
      </w:pPr>
      <w:r>
        <w:rPr>
          <w:lang w:val="ru-RU" w:eastAsia="ru-RU" w:bidi="ru-RU"/>
          <w:w w:val="100"/>
          <w:spacing w:val="0"/>
          <w:color w:val="000000"/>
          <w:position w:val="0"/>
        </w:rPr>
        <w:t>Специалиста 1 разряда отдела обжалования государственных закупок</w:t>
      </w:r>
    </w:p>
    <w:p>
      <w:pPr>
        <w:pStyle w:val="Style5"/>
        <w:tabs>
          <w:tab w:leader="none" w:pos="672" w:val="left"/>
        </w:tabs>
        <w:widowControl w:val="0"/>
        <w:keepNext w:val="0"/>
        <w:keepLines w:val="0"/>
        <w:shd w:val="clear" w:color="auto" w:fill="auto"/>
        <w:bidi w:val="0"/>
        <w:jc w:val="both"/>
        <w:spacing w:before="0" w:after="0" w:line="322" w:lineRule="exact"/>
        <w:ind w:left="100" w:right="0" w:firstLine="0"/>
      </w:pPr>
      <w:r>
        <w:rPr>
          <w:lang w:val="ru-RU" w:eastAsia="ru-RU" w:bidi="ru-RU"/>
          <w:w w:val="100"/>
          <w:spacing w:val="0"/>
          <w:color w:val="000000"/>
          <w:position w:val="0"/>
        </w:rPr>
        <w:t>Э.З.</w:t>
        <w:tab/>
        <w:t>Гугава,</w:t>
      </w:r>
    </w:p>
    <w:p>
      <w:pPr>
        <w:pStyle w:val="Style3"/>
        <w:framePr w:w="1685" w:h="394" w:wrap="around" w:vAnchor="text" w:hAnchor="margin" w:x="452" w:y="488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000794465167</w:t>
      </w:r>
    </w:p>
    <w:p>
      <w:pPr>
        <w:pStyle w:val="Style5"/>
        <w:widowControl w:val="0"/>
        <w:keepNext w:val="0"/>
        <w:keepLines w:val="0"/>
        <w:shd w:val="clear" w:color="auto" w:fill="auto"/>
        <w:bidi w:val="0"/>
        <w:jc w:val="both"/>
        <w:spacing w:before="0" w:after="0" w:line="322" w:lineRule="exact"/>
        <w:ind w:left="100" w:right="20" w:firstLine="700"/>
      </w:pPr>
      <w:r>
        <w:rPr>
          <w:lang w:val="ru-RU" w:eastAsia="ru-RU" w:bidi="ru-RU"/>
          <w:w w:val="100"/>
          <w:spacing w:val="0"/>
          <w:color w:val="000000"/>
          <w:position w:val="0"/>
        </w:rPr>
        <w:t xml:space="preserve">на основании решения Комиссии </w:t>
      </w:r>
      <w:r>
        <w:rPr>
          <w:rStyle w:val="CharStyle10"/>
        </w:rPr>
        <w:t>от 26.10.2021 по делу №077/06/106</w:t>
        <w:softHyphen/>
        <w:t>19056/2021</w:t>
      </w:r>
      <w:r>
        <w:rPr>
          <w:lang w:val="ru-RU" w:eastAsia="ru-RU" w:bidi="ru-RU"/>
          <w:w w:val="100"/>
          <w:spacing w:val="0"/>
          <w:color w:val="000000"/>
          <w:position w:val="0"/>
        </w:rPr>
        <w:t>, по итогам рассмотрения жалобы ООО «Медикал Сервис» (далее — Заявитель) на действия ГБУЗ «ДГП №132 ДЗМ» (далее — Заказчик) при проведении электронного аукциона на право заключения государственного контракта на оказание услуг по техническому обслуживанию пурифайеров в ГБУЗ «ДГП №132 ДЗМ» на 2022 год (Закупка № 0373200089421000058)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w:t>
      </w:r>
      <w:r>
        <w:br w:type="page"/>
      </w:r>
    </w:p>
    <w:p>
      <w:pPr>
        <w:pStyle w:val="Style5"/>
        <w:widowControl w:val="0"/>
        <w:keepNext w:val="0"/>
        <w:keepLines w:val="0"/>
        <w:shd w:val="clear" w:color="auto" w:fill="auto"/>
        <w:bidi w:val="0"/>
        <w:jc w:val="both"/>
        <w:spacing w:before="0" w:after="323" w:line="322" w:lineRule="exact"/>
        <w:ind w:left="20" w:right="20" w:firstLine="0"/>
      </w:pPr>
      <w:r>
        <w:rPr>
          <w:lang w:val="ru-RU" w:eastAsia="ru-RU" w:bidi="ru-RU"/>
          <w:w w:val="100"/>
          <w:spacing w:val="0"/>
          <w:color w:val="000000"/>
          <w:position w:val="0"/>
        </w:rPr>
        <w:t>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1"/>
        <w:widowControl w:val="0"/>
        <w:keepNext/>
        <w:keepLines/>
        <w:shd w:val="clear" w:color="auto" w:fill="auto"/>
        <w:bidi w:val="0"/>
        <w:jc w:val="left"/>
        <w:spacing w:before="0" w:after="0"/>
        <w:ind w:left="356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Заказчику при рассмотрении вторых частей заявок на участие в электронном аукционе, а также при заключении государственного контракта не учитывать неправомерные требования к содержанию первой части заявки в соответствии с решением Московского УФАС России </w:t>
      </w:r>
      <w:r>
        <w:rPr>
          <w:rStyle w:val="CharStyle10"/>
        </w:rPr>
        <w:t>от 26.10.2021 по делу №077/06/106-19056/2021.</w:t>
      </w:r>
    </w:p>
    <w:p>
      <w:pPr>
        <w:pStyle w:val="Style5"/>
        <w:numPr>
          <w:ilvl w:val="0"/>
          <w:numId w:val="1"/>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Заказчику, Аукционной комиссии Заказчика осуществить дальнейшее проведение процедуры осуществления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10"/>
        </w:rPr>
        <w:t>от 26.10.2021 по делу №077/06/106</w:t>
        <w:softHyphen/>
        <w:t>19056/2021</w:t>
      </w:r>
    </w:p>
    <w:p>
      <w:pPr>
        <w:pStyle w:val="Style5"/>
        <w:widowControl w:val="0"/>
        <w:keepNext w:val="0"/>
        <w:keepLines w:val="0"/>
        <w:shd w:val="clear" w:color="auto" w:fill="auto"/>
        <w:bidi w:val="0"/>
        <w:jc w:val="both"/>
        <w:spacing w:before="0" w:after="304" w:line="293" w:lineRule="exact"/>
        <w:ind w:left="20" w:right="20" w:firstLine="520"/>
      </w:pPr>
      <w:r>
        <w:rPr>
          <w:lang w:val="ru-RU" w:eastAsia="ru-RU" w:bidi="ru-RU"/>
          <w:w w:val="100"/>
          <w:spacing w:val="0"/>
          <w:color w:val="000000"/>
          <w:position w:val="0"/>
        </w:rPr>
        <w:t>Заказчику, Ау</w:t>
      </w:r>
      <w:r>
        <w:rPr>
          <w:rStyle w:val="CharStyle13"/>
          <w:lang w:val="ru-RU" w:eastAsia="ru-RU" w:bidi="ru-RU"/>
        </w:rPr>
        <w:t>кци</w:t>
      </w:r>
      <w:r>
        <w:rPr>
          <w:lang w:val="ru-RU" w:eastAsia="ru-RU" w:bidi="ru-RU"/>
          <w:w w:val="100"/>
          <w:spacing w:val="0"/>
          <w:color w:val="000000"/>
          <w:position w:val="0"/>
        </w:rPr>
        <w:t xml:space="preserve">онной комиссии Заказчика в срок до </w:t>
      </w:r>
      <w:r>
        <w:rPr>
          <w:rStyle w:val="CharStyle10"/>
        </w:rPr>
        <w:t xml:space="preserve">30.11.2021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3"/>
        </w:rPr>
        <w:instrText> HYPERLINK "mailto:to77@fas.gov.ru" </w:instrText>
      </w:r>
      <w:r>
        <w:fldChar w:fldCharType="separate"/>
      </w:r>
      <w:r>
        <w:rPr>
          <w:rStyle w:val="Hyperlink"/>
        </w:rPr>
        <w:t>to77@fas.gov.ru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296" w:line="288" w:lineRule="exact"/>
        <w:ind w:left="20" w:right="20" w:firstLine="52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11"/>
        <w:widowControl w:val="0"/>
        <w:keepNext/>
        <w:keepLines/>
        <w:shd w:val="clear" w:color="auto" w:fill="auto"/>
        <w:bidi w:val="0"/>
        <w:jc w:val="both"/>
        <w:spacing w:before="0" w:after="0"/>
        <w:ind w:left="20" w:right="0" w:firstLine="720"/>
      </w:pPr>
      <w:bookmarkStart w:id="1" w:name="bookmark1"/>
      <w:r>
        <w:rPr>
          <w:rStyle w:val="CharStyle14"/>
          <w:b w:val="0"/>
          <w:bCs w:val="0"/>
        </w:rPr>
        <w:t xml:space="preserve">Настоящее предписание </w:t>
      </w:r>
      <w:r>
        <w:rPr>
          <w:lang w:val="ru-RU" w:eastAsia="ru-RU" w:bidi="ru-RU"/>
          <w:w w:val="100"/>
          <w:spacing w:val="0"/>
          <w:color w:val="000000"/>
          <w:position w:val="0"/>
        </w:rPr>
        <w:t>от 26.10.2021 по делу №077/06/106-19056/2021</w:t>
      </w:r>
      <w:bookmarkEnd w:id="1"/>
    </w:p>
    <w:p>
      <w:pPr>
        <w:pStyle w:val="Style5"/>
        <w:widowControl w:val="0"/>
        <w:keepNext w:val="0"/>
        <w:keepLines w:val="0"/>
        <w:shd w:val="clear" w:color="auto" w:fill="auto"/>
        <w:bidi w:val="0"/>
        <w:jc w:val="both"/>
        <w:spacing w:before="0" w:after="189" w:line="293" w:lineRule="exact"/>
        <w:ind w:left="20" w:right="20" w:firstLine="0"/>
      </w:pPr>
      <w:r>
        <w:rPr>
          <w:lang w:val="ru-RU" w:eastAsia="ru-RU" w:bidi="ru-RU"/>
          <w:w w:val="100"/>
          <w:spacing w:val="0"/>
          <w:color w:val="000000"/>
          <w:position w:val="0"/>
        </w:rPr>
        <w:t>может быть обжаловано в суде (Арбитражном суде) в соответствии с законодательством Российской Федерации.</w:t>
      </w:r>
    </w:p>
    <w:p>
      <w:pPr>
        <w:pStyle w:val="Style5"/>
        <w:tabs>
          <w:tab w:leader="none" w:pos="9006" w:val="right"/>
          <w:tab w:leader="none" w:pos="10090" w:val="right"/>
        </w:tabs>
        <w:widowControl w:val="0"/>
        <w:keepNext w:val="0"/>
        <w:keepLines w:val="0"/>
        <w:shd w:val="clear" w:color="auto" w:fill="auto"/>
        <w:bidi w:val="0"/>
        <w:jc w:val="both"/>
        <w:spacing w:before="0" w:after="0" w:line="432"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10090" w:val="right"/>
          <w:tab w:leader="none" w:pos="10076" w:val="right"/>
        </w:tabs>
        <w:widowControl w:val="0"/>
        <w:keepNext w:val="0"/>
        <w:keepLines w:val="0"/>
        <w:shd w:val="clear" w:color="auto" w:fill="auto"/>
        <w:bidi w:val="0"/>
        <w:jc w:val="both"/>
        <w:spacing w:before="0" w:after="0" w:line="432" w:lineRule="exact"/>
        <w:ind w:left="20" w:right="0" w:firstLine="0"/>
      </w:pPr>
      <w:r>
        <w:rPr>
          <w:lang w:val="ru-RU" w:eastAsia="ru-RU" w:bidi="ru-RU"/>
          <w:w w:val="100"/>
          <w:spacing w:val="0"/>
          <w:color w:val="000000"/>
          <w:position w:val="0"/>
        </w:rPr>
        <w:t>Члены Комиссии:</w:t>
        <w:tab/>
        <w:t>В.А.</w:t>
        <w:tab/>
        <w:t>Матвеев</w:t>
      </w:r>
    </w:p>
    <w:p>
      <w:pPr>
        <w:pStyle w:val="Style5"/>
        <w:tabs>
          <w:tab w:leader="none" w:pos="9377" w:val="left"/>
        </w:tabs>
        <w:widowControl w:val="0"/>
        <w:keepNext w:val="0"/>
        <w:keepLines w:val="0"/>
        <w:shd w:val="clear" w:color="auto" w:fill="auto"/>
        <w:bidi w:val="0"/>
        <w:jc w:val="both"/>
        <w:spacing w:before="0" w:after="1901" w:line="432" w:lineRule="exact"/>
        <w:ind w:left="8800" w:right="0" w:firstLine="0"/>
      </w:pPr>
      <w:r>
        <w:rPr>
          <w:lang w:val="ru-RU" w:eastAsia="ru-RU" w:bidi="ru-RU"/>
          <w:w w:val="100"/>
          <w:spacing w:val="0"/>
          <w:color w:val="000000"/>
          <w:position w:val="0"/>
        </w:rPr>
        <w:t>Э.З.</w:t>
        <w:tab/>
        <w:t>Гугава</w:t>
      </w:r>
    </w:p>
    <w:p>
      <w:pPr>
        <w:pStyle w:val="Style15"/>
        <w:widowControl w:val="0"/>
        <w:keepNext w:val="0"/>
        <w:keepLines w:val="0"/>
        <w:shd w:val="clear" w:color="auto" w:fill="auto"/>
        <w:bidi w:val="0"/>
        <w:jc w:val="left"/>
        <w:spacing w:before="0" w:after="0"/>
        <w:ind w:left="20" w:right="7520" w:firstLine="0"/>
      </w:pPr>
      <w:r>
        <w:rPr>
          <w:lang w:val="ru-RU" w:eastAsia="ru-RU" w:bidi="ru-RU"/>
          <w:w w:val="100"/>
          <w:spacing w:val="0"/>
          <w:color w:val="000000"/>
          <w:position w:val="0"/>
        </w:rPr>
        <w:t>Исп. Гугава Эдуард Звиадович 8 (495)784-75-05</w:t>
      </w:r>
    </w:p>
    <w:sectPr>
      <w:footnotePr>
        <w:pos w:val="pageBottom"/>
        <w:numFmt w:val="decimal"/>
        <w:numRestart w:val="continuous"/>
      </w:footnotePr>
      <w:type w:val="continuous"/>
      <w:pgSz w:w="11906" w:h="16838"/>
      <w:pgMar w:top="1115" w:left="810" w:right="786" w:bottom="10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 + Не полужирный"/>
    <w:basedOn w:val="CharStyle8"/>
    <w:rPr>
      <w:lang w:val="ru-RU" w:eastAsia="ru-RU" w:bidi="ru-RU"/>
      <w:b/>
      <w:bCs/>
      <w:w w:val="100"/>
      <w:spacing w:val="0"/>
      <w:color w:val="000000"/>
      <w:position w:val="0"/>
    </w:rPr>
  </w:style>
  <w:style w:type="character" w:customStyle="1" w:styleId="CharStyle10">
    <w:name w:val="Основной текст + Полужирный"/>
    <w:basedOn w:val="CharStyle6"/>
    <w:rPr>
      <w:lang w:val="ru-RU" w:eastAsia="ru-RU" w:bidi="ru-RU"/>
      <w:b/>
      <w:bCs/>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6"/>
    <w:rPr>
      <w:lang w:val="en-US" w:eastAsia="en-US" w:bidi="en-US"/>
      <w:u w:val="single"/>
      <w:w w:val="100"/>
      <w:spacing w:val="0"/>
      <w:color w:val="000000"/>
      <w:position w:val="0"/>
    </w:rPr>
  </w:style>
  <w:style w:type="character" w:customStyle="1" w:styleId="CharStyle14">
    <w:name w:val="Заголовок №1 + Не полужирный"/>
    <w:basedOn w:val="CharStyle12"/>
    <w:rPr>
      <w:lang w:val="ru-RU" w:eastAsia="ru-RU" w:bidi="ru-RU"/>
      <w:b/>
      <w:bCs/>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22" w:lineRule="exact"/>
      <w:ind w:firstLine="5300"/>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line="293"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174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