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29" w:wrap="around" w:vAnchor="text" w:hAnchor="margin" w:x="2267" w:y="305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87"/>
        <w:ind w:left="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11"/>
          <w:b/>
          <w:bCs/>
        </w:rPr>
        <w:t>УПРАВЛЕНИЕ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 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32" w:line="284" w:lineRule="exact"/>
        <w:ind w:left="0" w:right="0" w:firstLine="0"/>
      </w:pPr>
      <w:r>
        <w:rPr>
          <w:rStyle w:val="CharStyle8"/>
          <w:b/>
          <w:bCs/>
        </w:rPr>
        <w:t>федеральной антимонопольной службы по Воронежской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0" w:right="0" w:firstLine="0"/>
      </w:pPr>
      <w:r>
        <w:rPr>
          <w:rStyle w:val="CharStyle14"/>
        </w:rPr>
        <w:t xml:space="preserve">пр-кт Революции, 21, г. Воронеж, 394036 тел./факс (473)255-92-44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"mailto:to36@fas.gov.ru"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to36@fas.gov.ru</w:t>
      </w:r>
      <w:r>
        <w:fldChar w:fldCharType="end"/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150" w:line="600" w:lineRule="exact"/>
        <w:ind w:left="0" w:right="0" w:firstLine="0"/>
      </w:pPr>
      <w:bookmarkStart w:id="0" w:name="bookmark0"/>
      <w:r>
        <w:rPr>
          <w:rStyle w:val="CharStyle17"/>
          <w:i w:val="0"/>
          <w:iCs w:val="0"/>
        </w:rPr>
        <w:t>1</w:t>
      </w:r>
      <w:r>
        <w:rPr>
          <w:rStyle w:val="CharStyle18"/>
          <w:i w:val="0"/>
          <w:iCs w:val="0"/>
        </w:rPr>
        <w:t xml:space="preserve">№ </w:t>
      </w:r>
      <w:r>
        <w:rPr>
          <w:rStyle w:val="CharStyle19"/>
          <w:i/>
          <w:iCs/>
        </w:rPr>
        <w:t>СИ//069/?'/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237" w:line="240" w:lineRule="exact"/>
        <w:ind w:left="40" w:right="0" w:firstLine="0"/>
      </w:pPr>
      <w:r>
        <w:rPr>
          <w:rStyle w:val="CharStyle21"/>
        </w:rPr>
        <w:t>На №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Hi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Заказчики: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5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 к Решению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37" w:line="29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Отдел образования администрации Лискинского муниципального района Воронежской области 397900, Воронежская область, Лискинский район, город Лиски, проспект Ленина, 32 </w:t>
      </w:r>
      <w:r>
        <w:fldChar w:fldCharType="begin"/>
      </w:r>
      <w:r>
        <w:rPr>
          <w:color w:val="000000"/>
        </w:rPr>
        <w:instrText> HYPERLINK "mailto:contract.liski@gowrn.ru"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contract.liski@gowrn.ru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22"/>
        <w:tabs>
          <w:tab w:leader="none" w:pos="4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Ассоциация</w:t>
        <w:tab/>
        <w:t>Воронежского</w:t>
      </w:r>
    </w:p>
    <w:p>
      <w:pPr>
        <w:pStyle w:val="Style22"/>
        <w:tabs>
          <w:tab w:leader="none" w:pos="4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регионального отраслевого объединения работодателей в сфере охраны и безопасности</w:t>
        <w:tab/>
        <w:t>федерального</w:t>
      </w:r>
    </w:p>
    <w:p>
      <w:pPr>
        <w:pStyle w:val="Style22"/>
        <w:tabs>
          <w:tab w:leader="none" w:pos="4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координационного</w:t>
        <w:tab/>
        <w:t>центра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руководителей охранных структур (АВ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POOP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ФКЦ РОС)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394005, Воронежская область, г. Воронеж, ул. Владимира Невского, д. 39Д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522" w:left="1068" w:right="1075" w:bottom="2497" w:header="0" w:footer="3" w:gutter="0"/>
          <w:rtlGutter w:val="0"/>
          <w:cols w:num="2" w:space="734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"mailto:Roor.voronezh@mail.ru"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Roor.voronezh@mail.ru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439" w:lineRule="exact"/>
        <w:ind w:left="4160" w:right="0" w:firstLine="0"/>
      </w:pPr>
      <w:r>
        <w:rPr>
          <w:rStyle w:val="CharStyle25"/>
          <w:b/>
          <w:bCs/>
        </w:rPr>
        <w:t>РЕШЕНИЕ</w:t>
      </w:r>
    </w:p>
    <w:p>
      <w:pPr>
        <w:pStyle w:val="Style22"/>
        <w:framePr w:w="439" w:h="378" w:wrap="around" w:vAnchor="text" w:hAnchor="margin" w:x="161" w:y="1581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00" w:firstLine="0"/>
      </w:pPr>
      <w:r>
        <w:rPr>
          <w:rStyle w:val="CharStyle24"/>
          <w:vertAlign w:val="superscript"/>
          <w:spacing w:val="0"/>
        </w:rPr>
        <w:t>1</w:t>
      </w:r>
      <w:r>
        <w:rPr>
          <w:rStyle w:val="CharStyle24"/>
          <w:spacing w:val="0"/>
        </w:rPr>
        <w:t xml:space="preserve"> ■</w:t>
      </w:r>
    </w:p>
    <w:p>
      <w:pPr>
        <w:pStyle w:val="Style22"/>
        <w:framePr w:w="439" w:h="378" w:wrap="around" w:vAnchor="text" w:hAnchor="margin" w:x="161" w:y="1581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00" w:firstLine="0"/>
      </w:pPr>
      <w:r>
        <w:rPr>
          <w:rStyle w:val="CharStyle24"/>
          <w:spacing w:val="0"/>
        </w:rPr>
        <w:t>!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439" w:lineRule="exact"/>
        <w:ind w:left="0" w:right="240" w:firstLine="1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результатам рассмотрения жалобы ассоциации Воронежского регионального отраслевого объединения работодателей в сфере охраны и безопасности федерального координационного центра руководителей охранных структур на действия муниципальных казенных дошкольных общеобразовательных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3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учреждений (дело № 036/06/64-1131 /2021)</w:t>
      </w:r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351" w:line="439" w:lineRule="exact"/>
        <w:ind w:left="720" w:right="1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настоящего решения объявлена 27.10.2021 года. В полном объеме решение изготовлено 08.11.2021 года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45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22"/>
        <w:tabs>
          <w:tab w:leader="none" w:pos="7973" w:val="right"/>
          <w:tab w:leader="none" w:pos="84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7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* !</w:t>
        <w:tab/>
        <w:t>:</w:t>
        <w:tab/>
        <w:t>* |ГП.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Михин С.В. - председатель Комиссии, заместитель руководителя управления;</w:t>
      </w:r>
    </w:p>
    <w:p>
      <w:pPr>
        <w:pStyle w:val="Style22"/>
        <w:tabs>
          <w:tab w:leader="none" w:pos="7118" w:val="center"/>
          <w:tab w:leader="none" w:pos="8216" w:val="right"/>
          <w:tab w:leader="none" w:pos="8216" w:val="right"/>
          <w:tab w:leader="none" w:pos="881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5800" w:right="0" w:firstLine="0"/>
      </w:pPr>
      <w:r>
        <w:rPr>
          <w:rStyle w:val="CharStyle26"/>
        </w:rPr>
        <w:t>.</w:t>
        <w:tab/>
        <w:t>;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••.</w:t>
        <w:tab/>
        <w:t>А'</w:t>
        <w:tab/>
        <w:t>К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Мелкумян Г.М. - член Комиссии, государственный инспектор;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443" w:lineRule="exact"/>
        <w:ind w:left="88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Качкин И.В. - член Комиссии, государственный инспектор, в отсутствие представителей муниципальных казенных дошкольных</w:t>
      </w:r>
    </w:p>
    <w:p>
      <w:pPr>
        <w:pStyle w:val="Style27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802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: Ч|!|:</w:t>
      </w:r>
      <w:bookmarkEnd w:id="1"/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общеобразовательных учреждений, в присутствии представителя отдела образования администрации Лискинского муниципального района Воронежской области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Пустоваловой Н.М. (на основании доверенности от 26.10.2021 года № 3348), в присутствии представителя ассоциации Воронежского регионального отраслевого объединения работодателей в сфере охраны и безопасности федерального координационного центра руководителей охранных структур Кулешова В.В. (на основании доверенности от 15.09.2021 года № 6),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522" w:line="44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ассоциации Воронежского регионального отраслевого объединения работодателей в сфере охраны и безопасности федерального координационного центра руководителей охранных структур на действия муниципальных казенных дошкольных общеобразовательных учреждений при проведении электронного аукциона на оказание услуг частной охраны (Выставление поста охраны) (номер извещения 0131600000521000008),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442" w:line="240" w:lineRule="exact"/>
        <w:ind w:left="3980" w:right="0" w:firstLine="0"/>
      </w:pPr>
      <w:r>
        <w:rPr>
          <w:rStyle w:val="CharStyle29"/>
        </w:rPr>
        <w:t>УСТАНОВИЛА: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60"/>
        <w:sectPr>
          <w:type w:val="continuous"/>
          <w:pgSz w:w="11906" w:h="16838"/>
          <w:pgMar w:top="975" w:left="1089" w:right="1139" w:bottom="278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Управление Федеральной антимонопольной службы по Воронежской области поступила жалоба ассоциации Воронежского регионального отраслевого объединения работодателей в сфере охраны и безопасности федерального координационного центра руководителей охранных структур (далее - Заявитель, АВ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POOP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ФКЦ РОС) на действия муниципальных казенных дошкольных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общеобразовательных учреждений (далее - Заказчики) при проведении электронного аукциона на оказание услуг частной охраны (Выставление поста охраны) (номер извещения 0131600000521000008).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Заказчиком нарушены положения Федерального закона от 05.04.2013 года № 44-ФЗ «О контрактной системе в сфере закупок товаров, работ, услуг, для обеспечения государственных и муниципальных нужд» (далее - Закон о контрактной системе) при формировании Документации об электронном аукционе (далее - Документация), а именно: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Заказчиком неправомерно рассчитана начальная (Максимальная) цена контракта без учета требований Приказа Росгвардии от 15.02.2021 № 45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услуг" (далее - Порядок);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13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неправомерно определена и рассчитана начальная (Максимальная) цена контракта методом сопоставления рыночных цен (анализа рынка).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Представитель Уполномоченного органа с доводами, изложенными в жалобе, не согласен и считает их необоснованными.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материалы дела, предоставленные доказательства, заслушав доводы сторон, Комиссия пришла к следующим выводам.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18.10.2021 года в сети «Интернет» в единой информационной системе по адресу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размещено извещение № 0131600000521000008 о проведении электронного аукциона.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1 988 480,00 рублей.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57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Предметом рассматриваемого аукциона является оказание услуг частной охраны (Выставление поста охраны).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 | ;</w:t>
      </w:r>
    </w:p>
    <w:p>
      <w:pPr>
        <w:pStyle w:val="Style22"/>
        <w:numPr>
          <w:ilvl w:val="0"/>
          <w:numId w:val="1"/>
        </w:numPr>
        <w:tabs>
          <w:tab w:leader="none" w:pos="12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36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1 ст. 99 Закона о контрактной системе, в соответствии с настоящим Федеральным законом и иными нормативными правовыми актами, правовыми актами, определяющими функции и полномочия государственных органов и муниципальных органов, контроль в сфере закупок осуществляют следующие органы контроля в пределах их полномочий:</w:t>
      </w:r>
    </w:p>
    <w:p>
      <w:pPr>
        <w:pStyle w:val="Style22"/>
        <w:tabs>
          <w:tab w:leader="none" w:pos="913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6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i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*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федеральный орган исполнительной власти, уполномоченный на осуществление контроля в сфере закупок, контрольный орган в сфере государственного оборонного заказа, органы исполнительной власти субъекта Российской Федерации, органы местного самоуправления муниципального района, органы местного самоуправления городского округа, уполномоченные на осуществление контроля в сфере закупок;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федеральный орган исполнительной власти, определенный Правительством Российской Федерации в соответствии с частью 6 статьи 4 настоящего Федерального закона, финансовые органы субъектов Российской Федерации и муниципальных образований, органы управления государственными внебюджетными фондами;</w:t>
      </w:r>
    </w:p>
    <w:p>
      <w:pPr>
        <w:pStyle w:val="Style2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органы внутреннего государственного (муниципального) финансового контроля, определенные в соответствии с Бюджетным кодексом Российской Федерации.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3 ч. 8. ст. 99 Закона о контрактной системе, органы внутреннего государственного (муниципального) финансового контроля осуществляют контроль определения и обоснования начальной (максимальной) цены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86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•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вышеизложенных норм следует, что Комиссия Воронежского У ФАС России не имеет полномочий по рассмотрению жалоб на способ определения начальной (максимальной) цены контракта, так как данные полномочия возложены на органы внутреннего финансового контроля, в связи с чем, в довод Заявителя о неправомерном расчете начальной (Максимальной) цены контракта остается без рассмотрения и подлежит направлению по подведомственности в указанный орган.</w:t>
      </w:r>
    </w:p>
    <w:p>
      <w:pPr>
        <w:pStyle w:val="Style22"/>
        <w:numPr>
          <w:ilvl w:val="0"/>
          <w:numId w:val="1"/>
        </w:numPr>
        <w:tabs>
          <w:tab w:leader="none" w:pos="125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1 ст. 59 Закона о контрактной системе,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 ст. 63 Закона о контрактной системе, извещение о проведении электронного аукциона размещается заказчиком в единой информационной системе.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пункта 1 части 1 статьи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условия контракта в соответствии со статьей 33 настоящего Федерального закона, в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• |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Как следует из ч. 1 ст. 24 Закона о контрактной системе, начальная (максимальная) цена контракта и в предусмотренных настоящим Федеральным законом случаях цена контракта, заключаемого с единственным поставщиком (подрядчиком, исполнителем), определяются и обосновываются заказчиком посредством применения следующего метода или нескольких следующих методов:</w:t>
      </w:r>
    </w:p>
    <w:p>
      <w:pPr>
        <w:pStyle w:val="Style2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метод сопоставимых рыночных цен (анализа рынка);</w:t>
      </w:r>
    </w:p>
    <w:p>
      <w:pPr>
        <w:pStyle w:val="Style2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нормативный метод;</w:t>
      </w:r>
    </w:p>
    <w:p>
      <w:pPr>
        <w:pStyle w:val="Style2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тарифный метод;</w:t>
      </w:r>
    </w:p>
    <w:p>
      <w:pPr>
        <w:pStyle w:val="Style2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проектно-сметный метод;</w:t>
      </w:r>
    </w:p>
    <w:p>
      <w:pPr>
        <w:pStyle w:val="Style2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затратный метод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20" w:firstLine="880"/>
        <w:sectPr>
          <w:type w:val="continuous"/>
          <w:pgSz w:w="11906" w:h="16838"/>
          <w:pgMar w:top="1261" w:left="1118" w:right="1101" w:bottom="244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Комиссией установлено, что в составе Документации, размещенной в Единой информационной системе на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имеется обоснование начальной (Максимальной) цены контракта (Приложение № 5 «Часть 4. Обоснование начальной (Максимальной) цены контракта) (далее - Обоснование).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 этом, как следует </w:t>
      </w:r>
      <w:r>
        <w:rPr>
          <w:rStyle w:val="CharStyle32"/>
        </w:rPr>
        <w:t xml:space="preserve">из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Обоснования, начальная (Максимальная) цена контракта определена и рассчитана посредством метода сопоставимых рыночных цен (анализ рынка).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Вместе с тем, в соответствии с Приказом Федеральной службы войск национальной гвардии РФ от </w:t>
      </w:r>
      <w:r>
        <w:rPr>
          <w:rStyle w:val="CharStyle32"/>
        </w:rPr>
        <w:t xml:space="preserve">15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февраля 2021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rStyle w:val="CharStyle32"/>
        </w:rPr>
        <w:t xml:space="preserve">45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цены единицы товара, работы, услуги при осуществлении закупок охранных услуг"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I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Приказ № 45) утвержден Утвердить Порядок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 (далее - Порядок).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Пунктом 1 Порядка определено, что настоящий Порядок устанавливает единые правила расчета заказчиком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 (далее - НМЦК), за исключением закупок охранных услуг у единственного поставщика (подрядчика, исполнителя) в случае, предусмотренном пунктом 2 части 1 статьи 93 Федерального закона </w:t>
      </w:r>
      <w:r>
        <w:rPr>
          <w:rStyle w:val="CharStyle32"/>
        </w:rPr>
        <w:t xml:space="preserve">от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5 апреля 2013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rStyle w:val="CharStyle32"/>
        </w:rPr>
        <w:t xml:space="preserve">44-ФЗ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"О контрактной системе в сфере закупок товаров, работ, услуг для обеспечения государственных и муниципальных нужд" (Собрание законодательства Российской Федерации, 2013,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14, ст. 1652; 2018,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53, ст. 8444), при котором настоящий Порядок может не применяться.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4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 учетом того, что предметом рассматриваемого электронного аукциона является оказание охранных услуг (Выставление поста охраны), Заказчиками необходимо было определить начальную (Максимальную) цену контракта в соответствии с Порядком, утвержденным Приказом </w:t>
      </w:r>
      <w:r>
        <w:rPr>
          <w:rStyle w:val="CharStyle32"/>
        </w:rPr>
        <w:t xml:space="preserve">№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45, а также сформировать обоснование невозможности применения иных методов определения начальной (Максимальной) цены контракта в соответствии с требованиями ч. 12 ст. 24 Закона о контрактной системе.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усматривает в действиях Заказчика нарушения требований п. 1 ч. 1 ст. 64, ч. 1 ст. 24 Закона о контрактной системе.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с учетом того, что на момент рассмотрения жалобы определение поставщика было отменено, а также учитывая тот факт, что отмена определения поставщика исключает нарушение прав и законных интересов участников спорной закупки, Комиссия приходит к выводу о необоснованности жалобы Заявителя.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439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руководствуясь ст. ст. 99 106 Закона о контрактной системе, Комиссия Управления Федеральной антимонопольной службы по Воронежской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380" w:right="0" w:firstLine="0"/>
      </w:pPr>
      <w:r>
        <w:rPr>
          <w:rStyle w:val="CharStyle35"/>
          <w:i/>
          <w:iCs/>
        </w:rPr>
        <w:t>I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58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области по контролю в сфере закупок,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jc w:val="left"/>
        <w:spacing w:before="0" w:after="430" w:line="260" w:lineRule="exact"/>
        <w:ind w:left="448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366" w:line="443" w:lineRule="exact"/>
        <w:ind w:left="2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ассоциации Воронежского регионального отраслевого объединения работодателей в сфере охраны и безопасности федерального координационного центра руководителей охранных структур на действия муниципальных казенных дошкольных общеобразовательных учреждений при проведении электронного аукциона на оказание услуг частной охраны (Выставление поста охраны) (номер извещения 0131600000521000008) необоснованной.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93" w:line="436" w:lineRule="exact"/>
        <w:ind w:left="20" w:right="0" w:firstLine="880"/>
        <w:sectPr>
          <w:type w:val="continuous"/>
          <w:pgSz w:w="11906" w:h="16838"/>
          <w:pgMar w:top="820" w:left="1118" w:right="1107" w:bottom="156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18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211" w:left="798" w:right="798" w:bottom="2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Corbel" w:eastAsia="Corbel" w:hAnsi="Corbel" w:cs="Corbel"/>
      <w:spacing w:val="-2"/>
    </w:rPr>
  </w:style>
  <w:style w:type="character" w:customStyle="1" w:styleId="CharStyle5">
    <w:name w:val="Основной текст (5) Exact"/>
    <w:basedOn w:val="CharStyle20"/>
    <w:rPr>
      <w:sz w:val="23"/>
      <w:szCs w:val="23"/>
      <w:spacing w:val="-2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Заголовок №2_"/>
    <w:basedOn w:val="DefaultParagraphFont"/>
    <w:link w:val="Style15"/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30"/>
    </w:rPr>
  </w:style>
  <w:style w:type="character" w:customStyle="1" w:styleId="CharStyle17">
    <w:name w:val="Заголовок №2 + 30 pt,Полужирный,Не курсив,Интервал 0 pt"/>
    <w:basedOn w:val="CharStyle16"/>
    <w:rPr>
      <w:lang w:val="ru-RU" w:eastAsia="ru-RU" w:bidi="ru-RU"/>
      <w:b/>
      <w:bCs/>
      <w:i/>
      <w:iCs/>
      <w:u w:val="single"/>
      <w:sz w:val="60"/>
      <w:szCs w:val="60"/>
      <w:w w:val="100"/>
      <w:spacing w:val="0"/>
      <w:color w:val="000000"/>
      <w:position w:val="0"/>
    </w:rPr>
  </w:style>
  <w:style w:type="character" w:customStyle="1" w:styleId="CharStyle18">
    <w:name w:val="Заголовок №2 + 11,5 pt,Не курсив,Интервал 0 pt"/>
    <w:basedOn w:val="CharStyle16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9">
    <w:name w:val="Заголовок №2"/>
    <w:basedOn w:val="CharStyle16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Corbel" w:eastAsia="Corbel" w:hAnsi="Corbel" w:cs="Corbel"/>
    </w:rPr>
  </w:style>
  <w:style w:type="character" w:customStyle="1" w:styleId="CharStyle21">
    <w:name w:val="Основной текст (5)"/>
    <w:basedOn w:val="CharStyle2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25">
    <w:name w:val="Основной текст (3) + Интервал 3 pt"/>
    <w:basedOn w:val="CharStyle10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26">
    <w:name w:val="Основной текст + 10 pt"/>
    <w:basedOn w:val="CharStyle23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28">
    <w:name w:val="Заголовок №1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28"/>
      <w:szCs w:val="28"/>
      <w:rFonts w:ascii="Impact" w:eastAsia="Impact" w:hAnsi="Impact" w:cs="Impact"/>
      <w:spacing w:val="10"/>
    </w:rPr>
  </w:style>
  <w:style w:type="character" w:customStyle="1" w:styleId="CharStyle29">
    <w:name w:val="Основной текст + Интервал 3 pt"/>
    <w:basedOn w:val="CharStyle23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31">
    <w:name w:val="Основной текст (6)_"/>
    <w:basedOn w:val="DefaultParagraphFont"/>
    <w:link w:val="Style30"/>
    <w:rPr>
      <w:b/>
      <w:bCs/>
      <w:i w:val="0"/>
      <w:iCs w:val="0"/>
      <w:u w:val="none"/>
      <w:strike w:val="0"/>
      <w:smallCaps w:val="0"/>
      <w:sz w:val="15"/>
      <w:szCs w:val="15"/>
      <w:rFonts w:ascii="Corbel" w:eastAsia="Corbel" w:hAnsi="Corbel" w:cs="Corbel"/>
    </w:rPr>
  </w:style>
  <w:style w:type="character" w:customStyle="1" w:styleId="CharStyle32">
    <w:name w:val="Основной текст"/>
    <w:basedOn w:val="CharStyle2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(7)_"/>
    <w:basedOn w:val="DefaultParagraphFont"/>
    <w:link w:val="Style33"/>
    <w:rPr>
      <w:b w:val="0"/>
      <w:bCs w:val="0"/>
      <w:i/>
      <w:iCs/>
      <w:u w:val="none"/>
      <w:strike w:val="0"/>
      <w:smallCaps w:val="0"/>
      <w:sz w:val="10"/>
      <w:szCs w:val="10"/>
      <w:rFonts w:ascii="Tahoma" w:eastAsia="Tahoma" w:hAnsi="Tahoma" w:cs="Tahoma"/>
    </w:rPr>
  </w:style>
  <w:style w:type="character" w:customStyle="1" w:styleId="CharStyle35">
    <w:name w:val="Основной текст (7) + Times New Roman,12 pt"/>
    <w:basedOn w:val="CharStyle34"/>
    <w:rPr>
      <w:lang w:val="ru-RU" w:eastAsia="ru-RU" w:bidi="ru-RU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7">
    <w:name w:val="Основной текст (8)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60"/>
    </w:rPr>
  </w:style>
  <w:style w:type="paragraph" w:customStyle="1" w:styleId="Style3">
    <w:name w:val="Основной текст (5)"/>
    <w:basedOn w:val="Normal"/>
    <w:link w:val="CharStyle20"/>
    <w:pPr>
      <w:widowControl w:val="0"/>
      <w:shd w:val="clear" w:color="auto" w:fill="FFFFFF"/>
      <w:spacing w:before="300" w:after="2340" w:line="0" w:lineRule="exact"/>
    </w:pPr>
    <w:rPr>
      <w:b w:val="0"/>
      <w:bCs w:val="0"/>
      <w:i w:val="0"/>
      <w:iCs w:val="0"/>
      <w:u w:val="none"/>
      <w:strike w:val="0"/>
      <w:smallCaps w:val="0"/>
      <w:rFonts w:ascii="Corbel" w:eastAsia="Corbel" w:hAnsi="Corbel" w:cs="Corbel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60" w:line="27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FFFFFF"/>
      <w:jc w:val="center"/>
      <w:outlineLvl w:val="1"/>
      <w:spacing w:before="60" w:after="30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30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FFFFFF"/>
      <w:spacing w:before="23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FFFFFF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Impact" w:eastAsia="Impact" w:hAnsi="Impact" w:cs="Impact"/>
      <w:spacing w:val="10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Corbel" w:eastAsia="Corbel" w:hAnsi="Corbel" w:cs="Corbel"/>
    </w:rPr>
  </w:style>
  <w:style w:type="paragraph" w:customStyle="1" w:styleId="Style33">
    <w:name w:val="Основной текст (7)"/>
    <w:basedOn w:val="Normal"/>
    <w:link w:val="CharStyle34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0"/>
      <w:szCs w:val="10"/>
      <w:rFonts w:ascii="Tahoma" w:eastAsia="Tahoma" w:hAnsi="Tahoma" w:cs="Tahoma"/>
    </w:rPr>
  </w:style>
  <w:style w:type="paragraph" w:customStyle="1" w:styleId="Style36">
    <w:name w:val="Основной текст (8)"/>
    <w:basedOn w:val="Normal"/>
    <w:link w:val="CharStyle37"/>
    <w:pPr>
      <w:widowControl w:val="0"/>
      <w:shd w:val="clear" w:color="auto" w:fill="FFFFFF"/>
      <w:spacing w:before="660" w:after="6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