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60" w:lineRule="exact"/>
        <w:ind w:left="5420" w:right="0" w:firstLine="0"/>
      </w:pPr>
      <w:r>
        <w:rPr>
          <w:lang w:val="ru-RU" w:eastAsia="ru-RU" w:bidi="ru-RU"/>
          <w:w w:val="100"/>
          <w:spacing w:val="0"/>
          <w:color w:val="000000"/>
          <w:position w:val="0"/>
        </w:rPr>
        <w:t>ООО «Техмедторг»</w:t>
      </w:r>
    </w:p>
    <w:p>
      <w:pPr>
        <w:pStyle w:val="Style5"/>
        <w:widowControl w:val="0"/>
        <w:keepNext w:val="0"/>
        <w:keepLines w:val="0"/>
        <w:shd w:val="clear" w:color="auto" w:fill="auto"/>
        <w:bidi w:val="0"/>
        <w:jc w:val="left"/>
        <w:spacing w:before="0" w:after="240" w:line="322" w:lineRule="exact"/>
        <w:ind w:left="5420" w:right="20" w:firstLine="0"/>
      </w:pPr>
      <w:r>
        <w:rPr>
          <w:lang w:val="ru-RU" w:eastAsia="ru-RU" w:bidi="ru-RU"/>
          <w:w w:val="100"/>
          <w:spacing w:val="0"/>
          <w:color w:val="000000"/>
          <w:position w:val="0"/>
        </w:rPr>
        <w:t xml:space="preserve">ул. Привольная, д. 2, корп. 5, пом. XI., к. 79, г. Москва, 109145 </w:t>
      </w:r>
      <w:r>
        <w:rPr>
          <w:lang w:val="en-US" w:eastAsia="en-US" w:bidi="en-US"/>
          <w:w w:val="100"/>
          <w:spacing w:val="0"/>
          <w:color w:val="000000"/>
          <w:position w:val="0"/>
        </w:rPr>
        <w:t xml:space="preserve">texmedtorg@mail </w:t>
      </w:r>
      <w:r>
        <w:rPr>
          <w:lang w:val="ru-RU" w:eastAsia="ru-RU" w:bidi="ru-RU"/>
          <w:w w:val="100"/>
          <w:spacing w:val="0"/>
          <w:color w:val="000000"/>
          <w:position w:val="0"/>
        </w:rPr>
        <w:t>.</w:t>
      </w:r>
      <w:r>
        <w:rPr>
          <w:rStyle w:val="CharStyle8"/>
        </w:rPr>
        <w:t>га</w:t>
      </w:r>
    </w:p>
    <w:p>
      <w:pPr>
        <w:pStyle w:val="Style5"/>
        <w:widowControl w:val="0"/>
        <w:keepNext w:val="0"/>
        <w:keepLines w:val="0"/>
        <w:shd w:val="clear" w:color="auto" w:fill="auto"/>
        <w:bidi w:val="0"/>
        <w:jc w:val="left"/>
        <w:spacing w:before="0" w:after="289" w:line="322" w:lineRule="exact"/>
        <w:ind w:left="5420" w:right="20" w:firstLine="0"/>
      </w:pPr>
      <w:r>
        <w:rPr>
          <w:lang w:val="ru-RU" w:eastAsia="ru-RU" w:bidi="ru-RU"/>
          <w:w w:val="100"/>
          <w:spacing w:val="0"/>
          <w:color w:val="000000"/>
          <w:position w:val="0"/>
        </w:rPr>
        <w:t xml:space="preserve">ФГБУ ФНКЦ ФМБА России Ореховый б-р., д. 28, г. Москва, 115682, </w:t>
      </w:r>
      <w:r>
        <w:fldChar w:fldCharType="begin"/>
      </w:r>
      <w:r>
        <w:rPr>
          <w:color w:val="000000"/>
        </w:rPr>
        <w:instrText> HYPERLINK "mailto:kb83kotirovka@mail.ru" </w:instrText>
      </w:r>
      <w:r>
        <w:fldChar w:fldCharType="separate"/>
      </w:r>
      <w:r>
        <w:rPr>
          <w:rStyle w:val="Hyperlink"/>
          <w:lang w:val="en-US" w:eastAsia="en-US" w:bidi="en-US"/>
          <w:w w:val="100"/>
          <w:spacing w:val="0"/>
          <w:position w:val="0"/>
        </w:rPr>
        <w:t>kb83kotirovka@mail.ru</w:t>
      </w:r>
      <w:r>
        <w:fldChar w:fldCharType="end"/>
      </w:r>
    </w:p>
    <w:p>
      <w:pPr>
        <w:pStyle w:val="Style5"/>
        <w:widowControl w:val="0"/>
        <w:keepNext w:val="0"/>
        <w:keepLines w:val="0"/>
        <w:shd w:val="clear" w:color="auto" w:fill="auto"/>
        <w:bidi w:val="0"/>
        <w:jc w:val="left"/>
        <w:spacing w:before="0" w:after="292" w:line="260" w:lineRule="exact"/>
        <w:ind w:left="54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082" w:line="260" w:lineRule="exact"/>
        <w:ind w:left="5420" w:right="0" w:firstLine="0"/>
      </w:pPr>
      <w:r>
        <w:rPr>
          <w:lang w:val="ru-RU" w:eastAsia="ru-RU" w:bidi="ru-RU"/>
          <w:w w:val="100"/>
          <w:spacing w:val="0"/>
          <w:color w:val="000000"/>
          <w:position w:val="0"/>
        </w:rPr>
        <w:t>60-я Октября пр., д. 9, г. Москва, 117312</w:t>
      </w:r>
    </w:p>
    <w:p>
      <w:pPr>
        <w:pStyle w:val="Style9"/>
        <w:tabs>
          <w:tab w:leader="none" w:pos="9206" w:val="right"/>
          <w:tab w:leader="none" w:pos="10257" w:val="right"/>
        </w:tabs>
        <w:widowControl w:val="0"/>
        <w:keepNext w:val="0"/>
        <w:keepLines w:val="0"/>
        <w:shd w:val="clear" w:color="auto" w:fill="auto"/>
        <w:bidi w:val="0"/>
        <w:jc w:val="left"/>
        <w:spacing w:before="0" w:after="0"/>
        <w:ind w:left="100" w:right="20" w:firstLine="4380"/>
      </w:pPr>
      <w:r>
        <w:rPr>
          <w:lang w:val="ru-RU" w:eastAsia="ru-RU" w:bidi="ru-RU"/>
          <w:w w:val="100"/>
          <w:spacing w:val="0"/>
          <w:color w:val="000000"/>
          <w:position w:val="0"/>
        </w:rPr>
        <w:t>РЕШЕНИЕ по делу №077/06/106-19057/2021 о нарушении законодательства о контрактной системе 26.10.2021</w:t>
        <w:tab/>
        <w:t>г.</w:t>
        <w:tab/>
        <w:t>Москва</w:t>
      </w:r>
    </w:p>
    <w:p>
      <w:pPr>
        <w:pStyle w:val="Style5"/>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17" w:lineRule="exact"/>
        <w:ind w:left="100" w:right="0" w:firstLine="7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17" w:lineRule="exact"/>
        <w:ind w:left="100" w:right="0" w:firstLine="74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700" w:val="left"/>
        </w:tabs>
        <w:widowControl w:val="0"/>
        <w:keepNext w:val="0"/>
        <w:keepLines w:val="0"/>
        <w:shd w:val="clear" w:color="auto" w:fill="auto"/>
        <w:bidi w:val="0"/>
        <w:jc w:val="both"/>
        <w:spacing w:before="0" w:after="0" w:line="317" w:lineRule="exact"/>
        <w:ind w:left="100" w:right="0" w:firstLine="0"/>
      </w:pPr>
      <w:r>
        <w:rPr>
          <w:lang w:val="ru-RU" w:eastAsia="ru-RU" w:bidi="ru-RU"/>
          <w:w w:val="100"/>
          <w:spacing w:val="0"/>
          <w:color w:val="000000"/>
          <w:position w:val="0"/>
        </w:rPr>
        <w:t>Н.А. Кутейникова,</w:t>
      </w:r>
    </w:p>
    <w:p>
      <w:pPr>
        <w:pStyle w:val="Style5"/>
        <w:tabs>
          <w:tab w:leader="none" w:pos="678" w:val="left"/>
        </w:tabs>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10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100" w:right="0" w:firstLine="74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ФГБУ ФНКЦ ФМБА России: А.А. Королева (по дов. №1-210903 от 03.09.2021), Т.А. Марченко (по дов. №1-210518 от 18.05.2021)</w:t>
      </w:r>
    </w:p>
    <w:p>
      <w:pPr>
        <w:pStyle w:val="Style5"/>
        <w:widowControl w:val="0"/>
        <w:keepNext w:val="0"/>
        <w:keepLines w:val="0"/>
        <w:shd w:val="clear" w:color="auto" w:fill="auto"/>
        <w:bidi w:val="0"/>
        <w:jc w:val="both"/>
        <w:spacing w:before="0" w:after="0" w:line="317" w:lineRule="exact"/>
        <w:ind w:left="100" w:right="0" w:firstLine="740"/>
      </w:pPr>
      <w:r>
        <w:rPr>
          <w:lang w:val="ru-RU" w:eastAsia="ru-RU" w:bidi="ru-RU"/>
          <w:w w:val="100"/>
          <w:spacing w:val="0"/>
          <w:color w:val="000000"/>
          <w:position w:val="0"/>
        </w:rPr>
        <w:t>ООО «Техмедторг»: В.Б. Острикова (ген. директор),</w:t>
      </w:r>
    </w:p>
    <w:p>
      <w:pPr>
        <w:pStyle w:val="Style3"/>
        <w:framePr w:w="1685" w:h="394" w:wrap="around" w:vAnchor="text" w:hAnchor="margin" w:x="452" w:y="195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001879681632</w:t>
      </w:r>
    </w:p>
    <w:p>
      <w:pPr>
        <w:pStyle w:val="Style5"/>
        <w:widowControl w:val="0"/>
        <w:keepNext w:val="0"/>
        <w:keepLines w:val="0"/>
        <w:shd w:val="clear" w:color="auto" w:fill="auto"/>
        <w:bidi w:val="0"/>
        <w:jc w:val="both"/>
        <w:spacing w:before="0" w:after="0" w:line="317" w:lineRule="exact"/>
        <w:ind w:left="100" w:right="20" w:firstLine="740"/>
      </w:pPr>
      <w:r>
        <w:rPr>
          <w:lang w:val="ru-RU" w:eastAsia="ru-RU" w:bidi="ru-RU"/>
          <w:w w:val="100"/>
          <w:spacing w:val="0"/>
          <w:color w:val="000000"/>
          <w:position w:val="0"/>
        </w:rPr>
        <w:t>рассмотрев жалобу ООО «Техмедторг» (далее - Заявитель) на действия ФГБУ ФНКЦ ФМБА России (далее — Заказчик) при проведении электронного аукциона на право заключения государственного контракта на на поставку электрокардиостимулятора внешнего, инвазивного с принадлежностями (Закупка № 0373100037221000695) (далее — Аукцион), в соответствии с Федеральным законом</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1"/>
        <w:widowControl w:val="0"/>
        <w:keepNext/>
        <w:keepLines/>
        <w:shd w:val="clear" w:color="auto" w:fill="auto"/>
        <w:bidi w:val="0"/>
        <w:jc w:val="left"/>
        <w:spacing w:before="0" w:after="308"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№ЕИ/64882/21 от 22.10.2021,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1"/>
        </w:numPr>
        <w:tabs>
          <w:tab w:leader="none" w:pos="1460" w:val="lef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В составе жалобы Заявитель указывает на установление Заказчиком характеристик товара по п. «Электрокардиостимулятор внешний, инвазивный с принадлежностями», ограничивающих круг участников закупки, поскольку совокупности установленных требований соответствует товар единственного производителя «Биотроник СЕ &amp; Ко. КГ» (Германия, Швейцария) — модель </w:t>
      </w:r>
      <w:r>
        <w:rPr>
          <w:lang w:val="en-US" w:eastAsia="en-US" w:bidi="en-US"/>
          <w:w w:val="100"/>
          <w:spacing w:val="0"/>
          <w:color w:val="000000"/>
          <w:position w:val="0"/>
        </w:rPr>
        <w:t xml:space="preserve">Reocor D, </w:t>
      </w:r>
      <w:r>
        <w:rPr>
          <w:lang w:val="ru-RU" w:eastAsia="ru-RU" w:bidi="ru-RU"/>
          <w:w w:val="100"/>
          <w:spacing w:val="0"/>
          <w:color w:val="000000"/>
          <w:position w:val="0"/>
        </w:rPr>
        <w:t>при этом ограничивающими характеристиками являются:</w:t>
      </w:r>
    </w:p>
    <w:p>
      <w:pPr>
        <w:pStyle w:val="Style5"/>
        <w:numPr>
          <w:ilvl w:val="0"/>
          <w:numId w:val="3"/>
        </w:numPr>
        <w:widowControl w:val="0"/>
        <w:keepNext w:val="0"/>
        <w:keepLines w:val="0"/>
        <w:shd w:val="clear" w:color="auto" w:fill="auto"/>
        <w:bidi w:val="0"/>
        <w:jc w:val="both"/>
        <w:spacing w:before="0" w:after="0" w:line="322" w:lineRule="exact"/>
        <w:ind w:left="20" w:right="0" w:firstLine="740"/>
      </w:pPr>
      <w:r>
        <w:rPr>
          <w:lang w:val="ru-RU" w:eastAsia="ru-RU" w:bidi="ru-RU"/>
          <w:w w:val="100"/>
          <w:spacing w:val="0"/>
          <w:color w:val="000000"/>
          <w:position w:val="0"/>
        </w:rPr>
        <w:t xml:space="preserve"> «Механические органы управления (поворотные регуляторы): Наличие»;</w:t>
      </w:r>
    </w:p>
    <w:p>
      <w:pPr>
        <w:pStyle w:val="Style5"/>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«Крючок или кольцо на корпусе устройства для крепления к штативу для капельницы: Наличие»;</w:t>
      </w:r>
    </w:p>
    <w:p>
      <w:pPr>
        <w:pStyle w:val="Style5"/>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«Включение/выключение устройства с использованием органов управления на лицевой (передней) панели ЭКС: Наличие».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заседании Комиссии Управления представители Заказчика пояснили, что по п. «Электрокардиостимулятор внешний, инвазивный с принадлежностями» совокупности требуемых характеристик, помимо товара производства «Биотроник СЕ &amp; Ко. КГ», упомянутого в жалобе, соответствует также товар производителя «Оскор Инк», США.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Не согласившись с данным доводом представителей Заказчика, представитель Заявителя пояснил, что прибор </w:t>
      </w:r>
      <w:r>
        <w:rPr>
          <w:lang w:val="en-US" w:eastAsia="en-US" w:bidi="en-US"/>
          <w:w w:val="100"/>
          <w:spacing w:val="0"/>
          <w:color w:val="000000"/>
          <w:position w:val="0"/>
        </w:rPr>
        <w:t xml:space="preserve">Oscor Pace 203H </w:t>
      </w:r>
      <w:r>
        <w:rPr>
          <w:lang w:val="ru-RU" w:eastAsia="ru-RU" w:bidi="ru-RU"/>
          <w:w w:val="100"/>
          <w:spacing w:val="0"/>
          <w:color w:val="000000"/>
          <w:position w:val="0"/>
        </w:rPr>
        <w:t>не может удовлетворить потребностям Заказчика, так как помимо механических поворотных регуляторов в составе имеет электронные органы управления.</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Комиссия Управления также отмечает, что характеристика, предусматривающая наличие у поставляемого изделия механический органов управления, не предусмотрена позицией выбранного Заказчиком КТРУ, ввиду чего в технической части документации размещено обоснование необходимости использования дополнительных характеристик, согласно которому механические органы управления (поворотные регуляторы) менее подвержены статическому электричеству, а также более устойчивы к механическим воздействиям (сильное нажатие), чем пленочные и сенсорные, что в свою очередь обеспечивает больший срок беспроблемной эксплуатации закупаемого оборудования, а также экономит бюджет на отсутствии необходимости выполнения требуемого ремонта или закупки нового медицинского изделия, что позволяет сделать однозначный вывод о том, что изделие </w:t>
      </w:r>
      <w:r>
        <w:rPr>
          <w:lang w:val="en-US" w:eastAsia="en-US" w:bidi="en-US"/>
          <w:w w:val="100"/>
          <w:spacing w:val="0"/>
          <w:color w:val="000000"/>
          <w:position w:val="0"/>
        </w:rPr>
        <w:t xml:space="preserve">Oscor Pace 203H, </w:t>
      </w:r>
      <w:r>
        <w:rPr>
          <w:lang w:val="ru-RU" w:eastAsia="ru-RU" w:bidi="ru-RU"/>
          <w:w w:val="100"/>
          <w:spacing w:val="0"/>
          <w:color w:val="000000"/>
          <w:position w:val="0"/>
        </w:rPr>
        <w:t>обладающее не только механическими органами управления, не соответствует требованиям аукционной документации.</w:t>
      </w:r>
    </w:p>
    <w:p>
      <w:pPr>
        <w:pStyle w:val="Style5"/>
        <w:tabs>
          <w:tab w:leader="none" w:pos="3855" w:val="left"/>
          <w:tab w:leader="none" w:pos="4474" w:val="lef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и Заявителя, Комиссия Управления приходит к выводу об обоснованности данного довода жалобы и о нарушении Заказчиком положений п.1</w:t>
        <w:tab/>
        <w:t>ч.1</w:t>
        <w:tab/>
        <w:t>ст.33 Закона о контрактной системе при</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формировании технической части аукционной документации, что содержит признаки состава административного правонарушения, предусмотренного ч.4.1 ст.7.30 Кодекса Российской Федерации об административных правонарушениях.</w:t>
      </w:r>
    </w:p>
    <w:p>
      <w:pPr>
        <w:pStyle w:val="Style5"/>
        <w:numPr>
          <w:ilvl w:val="0"/>
          <w:numId w:val="1"/>
        </w:numPr>
        <w:tabs>
          <w:tab w:leader="none" w:pos="1086" w:val="left"/>
        </w:tabs>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Также в составе жалобы Заявитель указывает на то, что описание объекта сформировано Заказчиком в нарушение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№145).</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извещением о проведении электронного аукциона объектом закупки является поставка электрокардиостимулятора внешнего, инвазивного с принадлежностями, относящегося к коду ОКПД2 26.60.14.110 «Кардиостимуляторы».</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ряда случаев.</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п.6 Правил использования КТРУ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На заседании Комиссии Управления представитель Заявителя пояснил, что позицией КТРУ 26.60.14.110-00014 «Электрокардиостимулятор вне</w:t>
      </w:r>
      <w:r>
        <w:rPr>
          <w:rStyle w:val="CharStyle13"/>
        </w:rPr>
        <w:t>шн</w:t>
      </w:r>
      <w:r>
        <w:rPr>
          <w:lang w:val="ru-RU" w:eastAsia="ru-RU" w:bidi="ru-RU"/>
          <w:w w:val="100"/>
          <w:spacing w:val="0"/>
          <w:color w:val="000000"/>
          <w:position w:val="0"/>
        </w:rPr>
        <w:t>ий, инвазивный» предусмотрены следующие характеристики:</w:t>
      </w:r>
    </w:p>
    <w:p>
      <w:pPr>
        <w:pStyle w:val="Style5"/>
        <w:widowControl w:val="0"/>
        <w:keepNext w:val="0"/>
        <w:keepLines w:val="0"/>
        <w:shd w:val="clear" w:color="auto" w:fill="auto"/>
        <w:bidi w:val="0"/>
        <w:jc w:val="both"/>
        <w:spacing w:before="0" w:after="0" w:line="322" w:lineRule="exact"/>
        <w:ind w:left="0" w:right="0" w:firstLine="740"/>
      </w:pPr>
      <w:r>
        <w:rPr>
          <w:lang w:val="ru-RU" w:eastAsia="ru-RU" w:bidi="ru-RU"/>
          <w:w w:val="100"/>
          <w:spacing w:val="0"/>
          <w:color w:val="000000"/>
          <w:position w:val="0"/>
        </w:rPr>
        <w:t>Амплитуда импульса, максимальная, мА: &gt; 15 и &lt; 20 ;</w:t>
      </w:r>
    </w:p>
    <w:p>
      <w:pPr>
        <w:pStyle w:val="Style5"/>
        <w:widowControl w:val="0"/>
        <w:keepNext w:val="0"/>
        <w:keepLines w:val="0"/>
        <w:shd w:val="clear" w:color="auto" w:fill="auto"/>
        <w:bidi w:val="0"/>
        <w:jc w:val="both"/>
        <w:spacing w:before="0" w:after="0" w:line="322" w:lineRule="exact"/>
        <w:ind w:left="0" w:right="0" w:firstLine="740"/>
      </w:pPr>
      <w:r>
        <w:rPr>
          <w:lang w:val="ru-RU" w:eastAsia="ru-RU" w:bidi="ru-RU"/>
          <w:w w:val="100"/>
          <w:spacing w:val="0"/>
          <w:color w:val="000000"/>
          <w:position w:val="0"/>
        </w:rPr>
        <w:t>Частота импульсов, максимальная, имп/мин: &gt; 150 и &lt; 250 ;</w:t>
      </w:r>
    </w:p>
    <w:p>
      <w:pPr>
        <w:pStyle w:val="Style5"/>
        <w:widowControl w:val="0"/>
        <w:keepNext w:val="0"/>
        <w:keepLines w:val="0"/>
        <w:shd w:val="clear" w:color="auto" w:fill="auto"/>
        <w:bidi w:val="0"/>
        <w:jc w:val="both"/>
        <w:spacing w:before="0" w:after="0" w:line="322" w:lineRule="exact"/>
        <w:ind w:left="0" w:right="0" w:firstLine="740"/>
      </w:pPr>
      <w:r>
        <w:rPr>
          <w:lang w:val="ru-RU" w:eastAsia="ru-RU" w:bidi="ru-RU"/>
          <w:w w:val="100"/>
          <w:spacing w:val="0"/>
          <w:color w:val="000000"/>
          <w:position w:val="0"/>
        </w:rPr>
        <w:t>Чувствительность, мВ: &gt; 0.1 и &lt; 20;</w:t>
      </w:r>
    </w:p>
    <w:p>
      <w:pPr>
        <w:pStyle w:val="Style5"/>
        <w:widowControl w:val="0"/>
        <w:keepNext w:val="0"/>
        <w:keepLines w:val="0"/>
        <w:shd w:val="clear" w:color="auto" w:fill="auto"/>
        <w:bidi w:val="0"/>
        <w:jc w:val="both"/>
        <w:spacing w:before="0" w:after="0" w:line="322" w:lineRule="exact"/>
        <w:ind w:left="0" w:right="0" w:firstLine="740"/>
      </w:pPr>
      <w:r>
        <w:rPr>
          <w:lang w:val="ru-RU" w:eastAsia="ru-RU" w:bidi="ru-RU"/>
          <w:w w:val="100"/>
          <w:spacing w:val="0"/>
          <w:color w:val="000000"/>
          <w:position w:val="0"/>
        </w:rPr>
        <w:t>Режим стимуляции: двойной.</w:t>
      </w:r>
    </w:p>
    <w:p>
      <w:pPr>
        <w:pStyle w:val="Style5"/>
        <w:tabs>
          <w:tab w:leader="none" w:pos="5515" w:val="left"/>
        </w:tabs>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Кроме того, данная позиция содержит указание на запрет установления дополнительных характеристик в соответствии с постановления Правительства Российской Федерации от 10.07.2020</w:t>
        <w:tab/>
        <w:t>№878 «О мерах стимулирования</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П.5 Правил использования КТРУ предусмотрено,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а) осуществления закупки радиоэлектронной проду</w:t>
      </w:r>
      <w:r>
        <w:rPr>
          <w:rStyle w:val="CharStyle13"/>
        </w:rPr>
        <w:t>кци</w:t>
      </w:r>
      <w:r>
        <w:rPr>
          <w:lang w:val="ru-RU" w:eastAsia="ru-RU" w:bidi="ru-RU"/>
          <w:w w:val="100"/>
          <w:spacing w:val="0"/>
          <w:color w:val="000000"/>
          <w:position w:val="0"/>
        </w:rPr>
        <w:t>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w:t>
      </w:r>
      <w:r>
        <w:rPr>
          <w:rStyle w:val="CharStyle13"/>
        </w:rPr>
        <w:t>кци</w:t>
      </w:r>
      <w:r>
        <w:rPr>
          <w:lang w:val="ru-RU" w:eastAsia="ru-RU" w:bidi="ru-RU"/>
          <w:w w:val="100"/>
          <w:spacing w:val="0"/>
          <w:color w:val="000000"/>
          <w:position w:val="0"/>
        </w:rPr>
        <w:t>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w:t>
        <w:br w:type="page"/>
        <w:t xml:space="preserve">закупок для обеспечения государственных и муниципальных нужд, утвержденный постановлением Правительства Российской Федерации от 10 июля 2019 г. </w:t>
      </w:r>
      <w:r>
        <w:rPr>
          <w:lang w:val="en-US" w:eastAsia="en-US" w:bidi="en-US"/>
          <w:w w:val="100"/>
          <w:spacing w:val="0"/>
          <w:color w:val="000000"/>
          <w:position w:val="0"/>
        </w:rPr>
        <w:t xml:space="preserve">N </w:t>
      </w:r>
      <w:r>
        <w:rPr>
          <w:lang w:val="ru-RU" w:eastAsia="ru-RU" w:bidi="ru-RU"/>
          <w:w w:val="100"/>
          <w:spacing w:val="0"/>
          <w:color w:val="000000"/>
          <w:position w:val="0"/>
        </w:rPr>
        <w:t>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w:t>
      </w:r>
      <w:r>
        <w:rPr>
          <w:rStyle w:val="CharStyle13"/>
        </w:rPr>
        <w:t>ши</w:t>
      </w:r>
      <w:r>
        <w:rPr>
          <w:lang w:val="ru-RU" w:eastAsia="ru-RU" w:bidi="ru-RU"/>
          <w:w w:val="100"/>
          <w:spacing w:val="0"/>
          <w:color w:val="000000"/>
          <w:position w:val="0"/>
        </w:rPr>
        <w:t>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Вместе с тем Комиссия Управления отмечает, что выбранный Заказчиком код ОКПД2 26.60.14.110 «Кардиостимуляторы» не входит в установленный постановлением №878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что указывает на возможность руководствования Заказчиком при формирование требований к товарам положениями п.6 Правил использования КТРУ. Кроме того, позиции КТРУ указано, что характеристики не являются обязательными для применения.</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Таким образом, с учетом размещения Заказчиком обоснования использования дополнительных характеристик Комиссия Управления приходит к выводу, что данный довод жалобы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289" w:line="322" w:lineRule="exact"/>
        <w:ind w:left="0" w:right="20" w:firstLine="740"/>
      </w:pPr>
      <w:r>
        <w:rPr>
          <w:lang w:val="ru-RU" w:eastAsia="ru-RU" w:bidi="ru-RU"/>
          <w:w w:val="100"/>
          <w:spacing w:val="0"/>
          <w:color w:val="000000"/>
          <w:position w:val="0"/>
        </w:rPr>
        <w:t>Исследовав представленные материалы, руководствуясь административным</w:t>
      </w:r>
      <w:r>
        <w:rPr>
          <w:lang w:val="ru-RU" w:eastAsia="ru-RU" w:bidi="ru-RU"/>
          <w:w w:val="100"/>
          <w:spacing w:val="0"/>
          <w:color w:val="000000"/>
          <w:position w:val="0"/>
        </w:rPr>
        <w:t xml:space="preserve"> </w:t>
      </w:r>
      <w:r>
        <w:rPr>
          <w:lang w:val="ru-RU" w:eastAsia="ru-RU" w:bidi="ru-RU"/>
          <w:w w:val="100"/>
          <w:spacing w:val="0"/>
          <w:color w:val="000000"/>
          <w:position w:val="0"/>
        </w:rPr>
        <w:t>регламентом, утвержденным приказо</w:t>
      </w:r>
      <w:r>
        <w:rPr>
          <w:lang w:val="ru-RU" w:eastAsia="ru-RU" w:bidi="ru-RU"/>
          <w:w w:val="100"/>
          <w:spacing w:val="0"/>
          <w:color w:val="000000"/>
          <w:position w:val="0"/>
        </w:rPr>
        <w:t>м</w:t>
      </w:r>
    </w:p>
    <w:p>
      <w:pPr>
        <w:pStyle w:val="Style9"/>
        <w:widowControl w:val="0"/>
        <w:keepNext w:val="0"/>
        <w:keepLines w:val="0"/>
        <w:shd w:val="clear" w:color="auto" w:fill="auto"/>
        <w:bidi w:val="0"/>
        <w:jc w:val="left"/>
        <w:spacing w:before="0" w:after="303" w:line="260" w:lineRule="exact"/>
        <w:ind w:left="462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Признать жалобу ООО «Техмедторг» на действия ФГБУ ФНКЦ ФМБА России обоснованной в части установления неправомерных требований к товарам.</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Признать в действиях Заказчика нарушение п.1 ч.1 ст.33, п.1. ч.1 ст.64,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гл. 24 АПК РФ.</w:t>
      </w:r>
    </w:p>
    <w:p>
      <w:pPr>
        <w:pStyle w:val="Style5"/>
        <w:framePr w:w="2147" w:h="959" w:wrap="around" w:vAnchor="text" w:hAnchor="margin" w:x="8095" w:y="-60"/>
        <w:widowControl w:val="0"/>
        <w:keepNext w:val="0"/>
        <w:keepLines w:val="0"/>
        <w:shd w:val="clear" w:color="auto" w:fill="auto"/>
        <w:bidi w:val="0"/>
        <w:jc w:val="right"/>
        <w:spacing w:before="0" w:after="0" w:line="317" w:lineRule="exact"/>
        <w:ind w:left="100" w:right="20" w:firstLine="0"/>
      </w:pPr>
      <w:r>
        <w:rPr>
          <w:rStyle w:val="CharStyle6"/>
          <w:spacing w:val="0"/>
        </w:rPr>
        <w:t>К.А. Сомов А.А. Кутейников П.А. Ступченко</w:t>
      </w:r>
    </w:p>
    <w:p>
      <w:pPr>
        <w:pStyle w:val="Style5"/>
        <w:widowControl w:val="0"/>
        <w:keepNext w:val="0"/>
        <w:keepLines w:val="0"/>
        <w:shd w:val="clear" w:color="auto" w:fill="auto"/>
        <w:bidi w:val="0"/>
        <w:jc w:val="left"/>
        <w:spacing w:before="0" w:after="334" w:line="317" w:lineRule="exact"/>
        <w:ind w:left="0" w:right="3700" w:firstLine="0"/>
      </w:pPr>
      <w:r>
        <w:rPr>
          <w:lang w:val="ru-RU" w:eastAsia="ru-RU" w:bidi="ru-RU"/>
          <w:w w:val="100"/>
          <w:spacing w:val="0"/>
          <w:color w:val="000000"/>
          <w:position w:val="0"/>
        </w:rPr>
        <w:t>Заместитель председателя Комиссии Члены Комиссии</w:t>
      </w:r>
    </w:p>
    <w:p>
      <w:pPr>
        <w:pStyle w:val="Style14"/>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Исп.Кутейников А.А.тел.8(495)784-75-05</w:t>
      </w:r>
    </w:p>
    <w:sectPr>
      <w:footnotePr>
        <w:pos w:val="pageBottom"/>
        <w:numFmt w:val="decimal"/>
        <w:numRestart w:val="continuous"/>
      </w:footnotePr>
      <w:type w:val="continuous"/>
      <w:pgSz w:w="11906" w:h="16838"/>
      <w:pgMar w:top="1113" w:left="810" w:right="786"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 10 pt"/>
    <w:basedOn w:val="CharStyle7"/>
    <w:rPr>
      <w:lang w:val="ru-RU" w:eastAsia="ru-RU" w:bidi="ru-RU"/>
      <w:sz w:val="20"/>
      <w:szCs w:val="20"/>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7"/>
    <w:rPr>
      <w:lang w:val="ru-RU" w:eastAsia="ru-RU" w:bidi="ru-RU"/>
      <w:u w:val="single"/>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spacing w:before="120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24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