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244"/>
        <w:ind w:left="5300" w:right="1420" w:firstLine="0"/>
      </w:pPr>
      <w:r>
        <w:rPr>
          <w:lang w:val="ru-RU" w:eastAsia="ru-RU" w:bidi="ru-RU"/>
          <w:w w:val="100"/>
          <w:spacing w:val="0"/>
          <w:color w:val="000000"/>
          <w:position w:val="0"/>
        </w:rPr>
        <w:t>Департамент развития новых территорий города Москвы</w:t>
      </w:r>
    </w:p>
    <w:p>
      <w:pPr>
        <w:pStyle w:val="Style3"/>
        <w:widowControl w:val="0"/>
        <w:keepNext w:val="0"/>
        <w:keepLines w:val="0"/>
        <w:shd w:val="clear" w:color="auto" w:fill="auto"/>
        <w:bidi w:val="0"/>
        <w:jc w:val="left"/>
        <w:spacing w:before="0" w:after="286" w:line="317" w:lineRule="exact"/>
        <w:ind w:left="5300" w:right="1280" w:firstLine="0"/>
      </w:pPr>
      <w:r>
        <w:rPr>
          <w:lang w:val="ru-RU" w:eastAsia="ru-RU" w:bidi="ru-RU"/>
          <w:w w:val="100"/>
          <w:spacing w:val="0"/>
          <w:color w:val="000000"/>
          <w:position w:val="0"/>
        </w:rPr>
        <w:t>Воздвиженка ул., д. 8/1, стр. 1, г. Москва, 125009</w:t>
      </w:r>
    </w:p>
    <w:p>
      <w:pPr>
        <w:pStyle w:val="Style3"/>
        <w:widowControl w:val="0"/>
        <w:keepNext w:val="0"/>
        <w:keepLines w:val="0"/>
        <w:shd w:val="clear" w:color="auto" w:fill="auto"/>
        <w:bidi w:val="0"/>
        <w:jc w:val="left"/>
        <w:spacing w:before="0" w:after="303" w:line="260" w:lineRule="exact"/>
        <w:ind w:left="5300" w:right="0" w:firstLine="0"/>
      </w:pPr>
      <w:r>
        <w:rPr>
          <w:lang w:val="ru-RU" w:eastAsia="ru-RU" w:bidi="ru-RU"/>
          <w:w w:val="100"/>
          <w:spacing w:val="0"/>
          <w:color w:val="000000"/>
          <w:position w:val="0"/>
        </w:rPr>
        <w:t>ООО «Доринжиниринг»</w:t>
      </w:r>
    </w:p>
    <w:p>
      <w:pPr>
        <w:pStyle w:val="Style3"/>
        <w:widowControl w:val="0"/>
        <w:keepNext w:val="0"/>
        <w:keepLines w:val="0"/>
        <w:shd w:val="clear" w:color="auto" w:fill="auto"/>
        <w:bidi w:val="0"/>
        <w:jc w:val="left"/>
        <w:spacing w:before="0" w:after="1500"/>
        <w:ind w:left="5300" w:right="240" w:firstLine="0"/>
      </w:pPr>
      <w:r>
        <w:rPr>
          <w:lang w:val="ru-RU" w:eastAsia="ru-RU" w:bidi="ru-RU"/>
          <w:w w:val="100"/>
          <w:spacing w:val="0"/>
          <w:color w:val="000000"/>
          <w:position w:val="0"/>
        </w:rPr>
        <w:t>ул. Ботаническая, д. 14, пом. 1, ком 3А, г. Москва, 127276</w:t>
      </w:r>
    </w:p>
    <w:p>
      <w:pPr>
        <w:pStyle w:val="Style5"/>
        <w:tabs>
          <w:tab w:leader="none" w:pos="10119" w:val="right"/>
        </w:tabs>
        <w:widowControl w:val="0"/>
        <w:keepNext w:val="0"/>
        <w:keepLines w:val="0"/>
        <w:shd w:val="clear" w:color="auto" w:fill="auto"/>
        <w:bidi w:val="0"/>
        <w:jc w:val="left"/>
        <w:spacing w:before="0" w:after="0"/>
        <w:ind w:left="20" w:right="20"/>
      </w:pPr>
      <w:r>
        <w:rPr>
          <w:lang w:val="ru-RU" w:eastAsia="ru-RU" w:bidi="ru-RU"/>
          <w:w w:val="100"/>
          <w:spacing w:val="0"/>
          <w:color w:val="000000"/>
          <w:position w:val="0"/>
        </w:rPr>
        <w:t>РЕШЕНИЕ по делу №077/06/106-18985/2021 о нарушении законодательства о контрактной системе 26.10.2021</w:t>
        <w:tab/>
        <w:t>Москва</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Е.А. Мироновой,</w:t>
      </w:r>
    </w:p>
    <w:p>
      <w:pPr>
        <w:pStyle w:val="Style3"/>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Специалиста-эксперта отдела обжалования государственных закупок А.З. Касимовой,</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Специалиста-эксперта отдела обжалования государственных закупок Е.О. Сгибнева,</w:t>
      </w:r>
    </w:p>
    <w:p>
      <w:pPr>
        <w:pStyle w:val="Style3"/>
        <w:tabs>
          <w:tab w:leader="none" w:pos="591" w:val="left"/>
        </w:tabs>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3"/>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при участии представителей:</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Департамента развития новых территорий города Москвы: Я.А. Деминой (по дов. №23 от 11.01.2021), М.А. Лозан (по дов. №23 от 11.01.2021),</w:t>
      </w:r>
    </w:p>
    <w:p>
      <w:pPr>
        <w:pStyle w:val="Style3"/>
        <w:widowControl w:val="0"/>
        <w:keepNext w:val="0"/>
        <w:keepLines w:val="0"/>
        <w:shd w:val="clear" w:color="auto" w:fill="auto"/>
        <w:bidi w:val="0"/>
        <w:jc w:val="both"/>
        <w:spacing w:before="0" w:after="176"/>
        <w:ind w:left="20" w:right="20" w:firstLine="700"/>
      </w:pPr>
      <w:r>
        <w:rPr>
          <w:lang w:val="ru-RU" w:eastAsia="ru-RU" w:bidi="ru-RU"/>
          <w:w w:val="100"/>
          <w:spacing w:val="0"/>
          <w:color w:val="000000"/>
          <w:position w:val="0"/>
        </w:rPr>
        <w:t>ООО «Доринжиниринг»: Н.В. Козорезова (ген. директор), рассмотрев жалобу ООО «Доринжиниринг» (далее — Заявитель) на действия Департамента развития новых территорий города Москвы (далее — Заказчик) при проведении открытого конкурса в электронной форме на право заключения государственного контракта на оказание услуг по осуществлению функций технического заказчика на период завершения подрядных работ по объекту: «Пожарное депо на 4 машиноместа, поселение Кленовское, деревня Чернецкое»</w:t>
      </w:r>
    </w:p>
    <w:p>
      <w:pPr>
        <w:pStyle w:val="Style7"/>
        <w:widowControl w:val="0"/>
        <w:keepNext w:val="0"/>
        <w:keepLines w:val="0"/>
        <w:shd w:val="clear" w:color="auto" w:fill="auto"/>
        <w:bidi w:val="0"/>
        <w:jc w:val="left"/>
        <w:spacing w:before="0" w:after="0" w:line="240" w:lineRule="auto"/>
        <w:ind w:left="0" w:right="0" w:firstLine="0"/>
      </w:pPr>
      <w:r>
        <w:rPr>
          <w:w w:val="100"/>
          <w:spacing w:val="0"/>
          <w:color w:val="000000"/>
          <w:position w:val="0"/>
        </w:rPr>
        <w:t>001869067792</w:t>
      </w:r>
    </w:p>
    <w:p>
      <w:pPr>
        <w:pStyle w:val="Style3"/>
        <w:widowControl w:val="0"/>
        <w:keepNext w:val="0"/>
        <w:keepLines w:val="0"/>
        <w:shd w:val="clear" w:color="auto" w:fill="auto"/>
        <w:bidi w:val="0"/>
        <w:jc w:val="both"/>
        <w:spacing w:before="0" w:after="349"/>
        <w:ind w:left="0" w:right="20" w:firstLine="0"/>
      </w:pPr>
      <w:r>
        <w:rPr>
          <w:lang w:val="ru-RU" w:eastAsia="ru-RU" w:bidi="ru-RU"/>
          <w:w w:val="100"/>
          <w:spacing w:val="0"/>
          <w:color w:val="000000"/>
          <w:position w:val="0"/>
        </w:rPr>
        <w:t>(Закупка № 0173200025421000161) (далее - открытый конкурс, конкурс)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9"/>
        <w:widowControl w:val="0"/>
        <w:keepNext/>
        <w:keepLines/>
        <w:shd w:val="clear" w:color="auto" w:fill="auto"/>
        <w:bidi w:val="0"/>
        <w:jc w:val="left"/>
        <w:spacing w:before="0" w:after="303" w:line="260" w:lineRule="exact"/>
        <w:ind w:left="440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В Московское УФАС России поступила жалоба Заявителя на действия аукционной комиссии Заказчика при проведении вышеуказанного конкурса.</w:t>
      </w:r>
    </w:p>
    <w:p>
      <w:pPr>
        <w:pStyle w:val="Style3"/>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На заседании Комиссии Управления Заказчиком представлены запрашиваемые письмом Московского УФАС России от 21.10.2021 №ЕИ/64625/21 документы и сведения.</w:t>
      </w:r>
    </w:p>
    <w:p>
      <w:pPr>
        <w:pStyle w:val="Style3"/>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3"/>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Заявитель обжалует действия конкурсной комиссии Заказчика, выразившиеся в неправомерном признании его заявки не соответствующей требованиям конкурсной документации по результатам рассмотрения вторых частей заявок на участие в конкурсе.</w:t>
      </w:r>
    </w:p>
    <w:p>
      <w:pPr>
        <w:pStyle w:val="Style3"/>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Согласно протоколу рассмотрения и оценки вторых частей заявок на участие в открытом конкурсе в электронной форме от 15.10.2021 №ПРОП1 заявка ООО «Доринжиниринг» признана несоответствующей на следующем основании: «Участник не соответствует требованиям извещения\документации Заявка на участие в открытом конкурсе в электронной форме признается не соответствующей требованиям, установленным конкурсной документацией: в случае несоответствия участника такого конкурса требованиям, установленным конкурсной документацией в соответствии с частью 1, частями 1.1 и 2.1 (при наличии таких требований) статьи 31 настоящего Федерального закона, а именно: в соответствии с п.18.1 Информационной карты конкурсной документации Участник закупки должен соответствовать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предусмотренные п. 1 ч. 1 ст. 31 Федерального закона, а именно: Участник закупки должен быть членом СРО в области строительства, реконструкции, капитального ремонта объектов капитального строительства, при соблюдении в совокупности условий, предусмотренных ч.3 ст.55.8 и ст. 55.16 Градостроительного кодекса Российской Федерации. Данное требование не применяется к участникам закупки, указанным в ч.2.1. и ч.2.2 ст. 52 Градостроительного кодекса Российской</w:t>
      </w:r>
    </w:p>
    <w:p>
      <w:pPr>
        <w:pStyle w:val="Style3"/>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 xml:space="preserve">Федерации. В соответствии с частями 10 - 13 статьи 55.16 Кодекса уровень ответственности по компенсационному фонду возмещения вреда саморегулируемой организации определяется исходя из максимальной стоимости договора подряда, который планируют выполнять индивидуальный предприниматель, юридическое лицо, уровень ответственности по компенсационному фонду обеспечения договорных обязательств саморегулируемой организации - исходя из предельного размера обязательств по договорам подряда, которые индивидуальный предприниматель, юридическое лицо намерены заключить с использованием конкурентных способов. В этой связи обязательность членства в саморегулируемой организации, а также уровень ответственности члена саморегулируемой организации, имеющего намерение выполнять по договору строительный контроль, определяются исходя из размера обязательств по договору о строительстве, реконструкции, капитальном ремонте объекта капитального строительства, по которому планируется осуществление этого строительного контроля (данная позиция отражена в письме Министерства строительства и жилищно-коммунального хозяйства Российской Федерации от 12 февраля 2021 г. </w:t>
      </w:r>
      <w:r>
        <w:rPr>
          <w:lang w:val="en-US" w:eastAsia="en-US" w:bidi="en-US"/>
          <w:w w:val="100"/>
          <w:spacing w:val="0"/>
          <w:color w:val="000000"/>
          <w:position w:val="0"/>
        </w:rPr>
        <w:t xml:space="preserve">N </w:t>
      </w:r>
      <w:r>
        <w:rPr>
          <w:lang w:val="ru-RU" w:eastAsia="ru-RU" w:bidi="ru-RU"/>
          <w:w w:val="100"/>
          <w:spacing w:val="0"/>
          <w:color w:val="000000"/>
          <w:position w:val="0"/>
        </w:rPr>
        <w:t>5265-ТБ/02, Решении УФАС г. Москвы по делу № 077/06/57</w:t>
        <w:softHyphen/>
        <w:t>13834/2020 от 26.08.2020, Решении Московского УФАС России от 13.04.2021 по делу № 077/06/106-6083/2021). В составе заявки участник представил выписку из реестра членов СРО, в соответствии с которой участник вправе заключать договоры строительного подряда с использованием конкурентных способов, совокупная стоимость которых не превышает 60 000 000 руб. Стоимость по договору строительства объекта капитального строительства, по которому планируется осуществление строительного контроля по данной закупке превышает 60 000 000 руб.».</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силу п.4 ч.1 ст.54.3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предусмотренные статьей 54.4 Закона о контрактной системе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Согласно п. 2 ч. 3 ст. 54.2 Закона о контрактной системе в извещении о проведении открытого конкурса в электронной форме наряду с информацией, предусмотренной статьей 42 Закона о контрактной системе, указываются требования, предъявляемые к участникам открытого конкурса в электронной форме, и исчерпывающий перечень документов, которые должны быть представлены участниками открытого конкурса в электронной форме в соответствии с пунктом 1 части 1 статьи 31 Закона о контрактной системе, а также требование, предъявляемое к участникам открытого конкурса в электронной форме в соответствии с частью 1.1 (при наличии такого требования) статьи 31 Закона о контрактной системе.</w:t>
      </w:r>
    </w:p>
    <w:p>
      <w:pPr>
        <w:pStyle w:val="Style3"/>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В соответствии с п.1 ч.1 ст.31 Закона о контрактной системе, при осуществлении закупки заказчик устанавливает единые требования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3"/>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Согласно п. 3 ч. 6 ст. 54.4 Закона о контрактной системе вторая часть заявки на участие в открытом конкурсе в электронной форме должна содержать документы, подтверждающие соответствие участника открытого конкурса в электронной форме требованиям к участникам такого конкурса, установленным заказчиком в конкурсной документации в соответствии с пунктом 1 части 1 статьи 31 Закона о контрактной системе, или копии таких документов, а также декларацию о соответствии участника открытого конкурса в электронной форме требованиям, установленным в соответствии с пунктами 3 - 9, 11 части 1 статьи 31 Закона о контрактной системе (указанная декларация предоставляется с использованием программно-аппаратных средств электронной площадки).</w:t>
      </w:r>
    </w:p>
    <w:p>
      <w:pPr>
        <w:pStyle w:val="Style3"/>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Комиссией Управления установлено, что Заказчиком в п.18.1 информационной карты конкурсной документации предъявлено требование к участником закупки: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предусмотренные п. 1 ч.1 ст. 31 Федерального закона.</w:t>
      </w:r>
    </w:p>
    <w:p>
      <w:pPr>
        <w:pStyle w:val="Style3"/>
        <w:tabs>
          <w:tab w:leader="none" w:pos="1929" w:val="left"/>
          <w:tab w:leader="none" w:pos="2370" w:val="left"/>
        </w:tabs>
        <w:widowControl w:val="0"/>
        <w:keepNext w:val="0"/>
        <w:keepLines w:val="0"/>
        <w:shd w:val="clear" w:color="auto" w:fill="auto"/>
        <w:bidi w:val="0"/>
        <w:jc w:val="both"/>
        <w:spacing w:before="0" w:after="0"/>
        <w:ind w:left="0" w:right="0" w:firstLine="700"/>
      </w:pPr>
      <w:r>
        <w:rPr>
          <w:lang w:val="ru-RU" w:eastAsia="ru-RU" w:bidi="ru-RU"/>
          <w:w w:val="100"/>
          <w:spacing w:val="0"/>
          <w:color w:val="000000"/>
          <w:position w:val="0"/>
        </w:rPr>
        <w:t>Лот №</w:t>
        <w:tab/>
        <w:t>1:</w:t>
        <w:tab/>
        <w:t>Участник закупки должен быть членом СРО в области</w:t>
      </w:r>
    </w:p>
    <w:p>
      <w:pPr>
        <w:pStyle w:val="Style3"/>
        <w:widowControl w:val="0"/>
        <w:keepNext w:val="0"/>
        <w:keepLines w:val="0"/>
        <w:shd w:val="clear" w:color="auto" w:fill="auto"/>
        <w:bidi w:val="0"/>
        <w:jc w:val="both"/>
        <w:spacing w:before="0" w:after="0"/>
        <w:ind w:left="0" w:right="20" w:firstLine="0"/>
      </w:pPr>
      <w:r>
        <w:rPr>
          <w:lang w:val="ru-RU" w:eastAsia="ru-RU" w:bidi="ru-RU"/>
          <w:w w:val="100"/>
          <w:spacing w:val="0"/>
          <w:color w:val="000000"/>
          <w:position w:val="0"/>
        </w:rPr>
        <w:t>строительства, реконструкции, капитального ремонта объектов капитального строительства, при соблюдении в совокупности условий, предусмотренных ч.3 ст.55.8 и ст. 55.16 Градостроительного кодекса Российской Федерации. Данное требование не применяется к участникам закупки, указанным в ч.2.1. и ч.2.2 ст. 52 Градостроительного кодекса Российской Федерации».</w:t>
      </w:r>
    </w:p>
    <w:p>
      <w:pPr>
        <w:pStyle w:val="Style3"/>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Согласно пп.2 п.23 информационной карты документации вторая часть заявки на участие закупке должна содержать, в том числе, документы (или копии таких документов) или сведения, подтверждающие соответствие участника требованиям, установленных в соответствии с п. 1 ч. 1 ст. 31 (при наличии таких требований) Закона о контрактной системе Действующая выписка из реестра членов саморегулируемой организации в области строительства, реконструкции, капитального ремонта объектов капитального строительства по форме, утверждённой Приказом Ростехнадзора от 04.03.2019 № 86.</w:t>
      </w:r>
    </w:p>
    <w:p>
      <w:pPr>
        <w:pStyle w:val="Style3"/>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Исходя из положений ч. 1 и 2 ст. 55.16 Градостроительного кодекса Российской Федерации (далее - ГрК РФ) саморегулируемая организация в целях обеспечения имущественной ответственности членов саморегулируемой организации по обязательствам, возникшим вследствие причинения вреда личности или имуществу гражданина, имуществу юридического лица вследствие разрушения, повреждения здания, сооружения либо части здания или сооружения, формирует компенсационный фонд возмещения вреда. Саморегулируемая организация в пределах средств компенсационного фонда возмещения вреда несет солидарную ответственность по обязательствам своих членов, возникшим вследствие причинения вреда, в случаях, предусмотренных ст. 60 ГрК РФ.</w:t>
      </w:r>
    </w:p>
    <w:p>
      <w:pPr>
        <w:pStyle w:val="Style3"/>
        <w:widowControl w:val="0"/>
        <w:keepNext w:val="0"/>
        <w:keepLines w:val="0"/>
        <w:shd w:val="clear" w:color="auto" w:fill="auto"/>
        <w:bidi w:val="0"/>
        <w:jc w:val="both"/>
        <w:spacing w:before="0" w:after="0"/>
        <w:ind w:left="0" w:right="0" w:firstLine="700"/>
      </w:pPr>
      <w:r>
        <w:rPr>
          <w:lang w:val="ru-RU" w:eastAsia="ru-RU" w:bidi="ru-RU"/>
          <w:w w:val="100"/>
          <w:spacing w:val="0"/>
          <w:color w:val="000000"/>
          <w:position w:val="0"/>
        </w:rPr>
        <w:t>Саморегулируемая организация в случаях, установленных ГрК РФ, в целях обеспечения имущественной ответственности членов саморегулируемой организации по обязательствам, возникшим вследствие неисполнения или ненадлежащего исполнения ими обязательств по договорам подряда на выполнение инженерных изысканий, подготовку проектной документации, договорам строительного подряда или договорам подряда на осуществление сноса, заключенным с использованием конкурентных способов заключения договоров, дополнительно формирует компенсационный фонд обеспечения договорных обязательств в случаях, предусмотренных ч. 2 и 4 ст. 55.4 ГрК РФ. Саморегулируемая организация в пределах средств компенсационного фонда обеспечения договорных обязательств несет субсидиарную ответственность по обязательствам своих членов в случаях, предусмотренных статьей 60.1 ГрК РФ.</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ч. 3 ст. 55.16 ГрК РФ не допускается освобождение члена саморегулируемой организации от обязанности внесения взноса в компенсационный фонд возмещения вреда, в том числе за счет его требований к саморегулируемой организации, а также освобождение члена саморегулируемой организации, подавшего заявление о намерении принимать участие в заключении договоров подряда на выполнение инженерных изысканий, подготовку проектной документации, договоров строительного подряда, договоров подряда на осуществление сноса с использованием конкурентных способов заключения договоров, от обязанности внесения взноса в компенсационный фонд обеспечения договорных обязательств в случае, если саморегулируемой организацией принято решение о формировании такого компенсационного фонда. Не допускается уплата взноса (взносов) в компенсационный фонд (компенсационные фонды) саморегулируемой организации в рассрочку или иным способом, исключающим единовременную уплату указанного взноса (взносов), а также уплата взноса (взносов) третьими лицами, не являющимися членами такой саморегулируемой организации, за исключением случая, предусмотренного ч. 16 ст. 55.16 ГрК РФ.</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Согласно ч. 3 ст. 55.8 ГрК РФ член саморегулируемой организации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заключаемым с использованием конкурентных способов заключения договоров, при соблюдении в совокупности следующих условий:</w:t>
      </w:r>
    </w:p>
    <w:p>
      <w:pPr>
        <w:pStyle w:val="Style3"/>
        <w:numPr>
          <w:ilvl w:val="0"/>
          <w:numId w:val="1"/>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наличие у саморегулируемой организации, членом которой является такое лицо, компенсационного фонда обеспечения договорных обязательств, сформированного в соответствии со ст. 55.4 и 55.16 ГрК РФ;</w:t>
      </w:r>
    </w:p>
    <w:p>
      <w:pPr>
        <w:pStyle w:val="Style3"/>
        <w:numPr>
          <w:ilvl w:val="0"/>
          <w:numId w:val="1"/>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если совокупный размер обязательств по указанным в абзаце первом части 3 статьи 55.8 ГрК РФ договорам не превышает предельный размер обязательств, исходя из которого таким лицом был внесен взнос в компенсационный фонд обеспечения договорных обязательств в соответствии с ч. 11 или 13 ст. 55.16 ГрК РФ. Количество договоров подряда на выполнение инженерных изысканий, подготовку проектной документации, договоров строительного подряда, договоров подряда на осуществление сноса, которые могут быть заключены членом саморегулируемой организации с использованием конкурентных способов заключения договоров, не ограничивается.</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Согласно ч. 13 ст. 55.16 ГрК РФ минимальный размер взноса в компенсационный фонд обеспечения договорных обязательств на одного члена саморегулируемой организации в области строительства, реконструкции, капитального ремонта, сноса объектов капитального строительства, выразившего намерение принимать участие в заключении договоров строительного подряда, договоров подряда на осуществление сноса с использованием конкурентных способов заключения договоров, в зависимости от уровня ответственности члена саморегулируемой организации составляет:</w:t>
      </w:r>
    </w:p>
    <w:p>
      <w:pPr>
        <w:pStyle w:val="Style3"/>
        <w:numPr>
          <w:ilvl w:val="0"/>
          <w:numId w:val="3"/>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двести тысяч рублей в случае, если предельный размер обязательств по таким договорам не превышает шестьдесят миллионов рублей (первый уровень ответственности члена саморегулируемой организации);</w:t>
      </w:r>
    </w:p>
    <w:p>
      <w:pPr>
        <w:pStyle w:val="Style3"/>
        <w:numPr>
          <w:ilvl w:val="0"/>
          <w:numId w:val="3"/>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два миллиона пятьсот тысяч рублей в случае, если предельный размер обязательств по таким договорам не превышает пятьсот миллионов рублей (второй уровень ответственности члена саморегулируемой организации);</w:t>
      </w:r>
    </w:p>
    <w:p>
      <w:pPr>
        <w:pStyle w:val="Style3"/>
        <w:numPr>
          <w:ilvl w:val="0"/>
          <w:numId w:val="3"/>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четыре миллиона пятьсот тысяч рублей в случае, если предельный размер обязательств по таким договорам не превышает три миллиарда рублей (третий уровень ответственности члена саморегулируемой организации);</w:t>
      </w:r>
    </w:p>
    <w:p>
      <w:pPr>
        <w:pStyle w:val="Style3"/>
        <w:numPr>
          <w:ilvl w:val="0"/>
          <w:numId w:val="3"/>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семь миллионов рублей в случае, если предельный размер обязательств по таким договорам не превышает десять миллиардов рублей (четвертый уровень ответственности члена саморегулируемой организации);</w:t>
      </w:r>
    </w:p>
    <w:p>
      <w:pPr>
        <w:pStyle w:val="Style3"/>
        <w:numPr>
          <w:ilvl w:val="0"/>
          <w:numId w:val="3"/>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двадцать пять миллионов рублей в случае, если предельный размер обязательств по таким договорам составляет десять миллиардов рублей и более (пятый уровень ответственности члена саморегулируемой организации).</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На заседании Комиссии Управления установлено, что в составе второй части заявки ООО «Доринжиниринг» представлена выписка из реестра членов саморегулируемой организации в области строительства от 01.09.2021 №Б-7743912296, в соответствии с которой участник вправе заключать договоры строительного подряда с использованием конкурентных способов, совокупная стоимость которых не превышает 60 млн. руб.</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ч.2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На заседании Комиссии Управления представители Заказчика пояснили, что Заявителем представлена выписка от 01.09.2021 №Б-7743912296 из реестра членов саморегулируемой организации по обязательствам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с первым уровнем ответственности члена саморегулироемой организации, в то время как объектом строительного контроля выступает выполнение подрядных работ по завершению строительства на объекте: «Пожарное депо на 4 машиноместа, поселение Кленовское, деревня Чернецкое» (в части общестроительных работ и наружных сетей) стоимость контракта которого составляет 234 603 124,62 руб., ввиду чего участникам закупки следовало представить выписку из реестра членов саморегулируемой организации в области строительства, реконструкции, капитального ремонта объектов капитального строительства с уровнем ответственности члена саморегулироемой организации не менее третьего, таким образом заявка Заявителя не соответствует требованиям аукционной документации.</w:t>
      </w:r>
    </w:p>
    <w:p>
      <w:pPr>
        <w:pStyle w:val="Style3"/>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В соответствии с ч. 2 ст. 52 Градостроительного кодекса Российской Федерации (далее - ГрК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w:t>
      </w:r>
    </w:p>
    <w:p>
      <w:pPr>
        <w:pStyle w:val="Style3"/>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При этом ч. 1 ст. 53 ГрК РФ установлено, что строительный контроль приводится в процессе строительства, реконструкции, капитального ремонта объектов капитального строительства в целях проверки соответствия выполняемых работ проектной документации (в том числе решениям и мероприятиям, направленным на обеспечение соблюдения требований энергетической эффективности и требований оснащенности объекта капитального строительства приборами учета используемых энергетических ресурсов), требованиям технических регламентов, результатам инженерных изысканий, требованиям к строительству, реконструкция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а также разрешенному использованию земельного участка и ограничениям, установленным в соответствии с земельным и иным законодательством Российской Федерации.</w:t>
      </w:r>
    </w:p>
    <w:p>
      <w:pPr>
        <w:pStyle w:val="Style3"/>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В соответствии с ч. 2 ст. 53 ГрК РФ строительный контроль проводится лицом, осуществляющим строительство. В случае осуществления строительства, реконструкции, капитального ремонта на основании договора строительного подряда строительный контроль проводится также застройщиком, техническим заказчиком, лицом, ответственным за эксплуатацию здания, сооружения, или региональным оператором, либо привлекаемыми ими на основании договора индивидуальным предпринимателем или юридическим лицом. Застройщик или технический заказчик по своей инициативе может привлекать лицо, осуществляющее подготовку проектной документации, для проверки соответствия выполняемых работ проектной документации.</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Согласно п. 22 ст. 1 ГрК РФ технический заказчик - юридическое лицо, которое уполномочено застройщиком и от имени застройщика заключает договоры о выполнении инженерных изысканий, о подготовке проектной документации, о строительстве, реконструкции, капитальном ремонте, сносе объектов капитального строительства, подготавливает задания на выполнение указанных видов работ, предоставляет лицам, выполняющим инженерные изыскания и (или) осуществляющим подготовку проектной документации, строительство, реконструкцию, капитальный ремонт, снос объектов капитального строительства, материалы и документы, необходимые для выполнения указанных видов работ, утверждает проектную документацию, подписывает документы, необходимые для получения разрешения на ввод объекта капитального строительства в эксплуатацию, осуществляет иные функции, предусмотренные законодательством о градостроительной деятельности (далее также - функции технического заказчика). Функции технического заказчика могут выполняться только членом соответственно саморегулируемой организации в области инженерных изысканий, архитектурно</w:t>
        <w:softHyphen/>
        <w:t>строительного проектирования, строительства, реконструкции, капитального ремонта, сноса объектов капитального строительства, за исключением случаев, предусмотренных частью 2.1 статьи 47, частью 4.1 статьи 48, частями 2.1 и 2.2 статьи 52, частями 5 и 6 статьи 55.31 ГрК РФ.</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Комиссия Управления отмечает, что исходя из совокупности положений ч.2 ст. 53 и п. 22 ст. 1 ГрК РФ строительный контроль является функцией технического заказчика и может выполняться только членом саморегулируемой организации в области строительства, реконструкции, капитального ремонта, сноса объектов капитального строительства, за исключением случаев, предусмотренных частями 2.1 и 2.2 ст. 52 ГрК РФ.</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Законодательством о градостроительной деятельности не установлены особые требования к членам саморегулируемой организации, выполняющим функции технического заказчика, в том числе осуществляющим строительный контроль на основании договора. В этой связи к таким лицам предъявляются общие требования, установленные внутренними документами саморегулируемой организации с учетом минимальных квалификационных требований, определенных ч. 6 ст. 55.5 ГрК РФ.</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частями 10 - 13 статьи 55.16 ГрК РФ уровень ответственности по компенсационному фонду возмещения вреда саморегулируемой организации определяется исходя из максимальной стоимости договора подряда, который планируют выполнять индивидуальный предприниматель, юридическое лицо, уровень ответственности по компенсационному фонду обеспечения договорных обязательств саморегулируемой организации - исходя из предельного размера обязательств по договорам подряда, которые индивидуальный предприниматель, юридическое лицо намерены заключить с использованием конкурентных способов.</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В этой связи обязательность членства в саморегулируемой организации, а также уровень ответственности члена саморегулируемой организации, имеющего намерение выполнять по договору строительный контроль, определяются исходя из размера обязательств по договору о строительстве, реконструкции, капитальном ремонте объекта капитального строительства, по которому планируется осуществление этого строительного контроля, что также отражено в письме Министерства строительства и жилищно-коммунального хозяйства Российской Федерации от 12.02.2021 </w:t>
      </w:r>
      <w:r>
        <w:rPr>
          <w:lang w:val="en-US" w:eastAsia="en-US" w:bidi="en-US"/>
          <w:w w:val="100"/>
          <w:spacing w:val="0"/>
          <w:color w:val="000000"/>
          <w:position w:val="0"/>
        </w:rPr>
        <w:t xml:space="preserve">N </w:t>
      </w:r>
      <w:r>
        <w:rPr>
          <w:lang w:val="ru-RU" w:eastAsia="ru-RU" w:bidi="ru-RU"/>
          <w:w w:val="100"/>
          <w:spacing w:val="0"/>
          <w:color w:val="000000"/>
          <w:position w:val="0"/>
        </w:rPr>
        <w:t>5265-ТБ/02.</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Таким образом, на основании вышеизложенного, Комиссия Управления приходит к выводу о том, что представленная Заявителем выписка из реестра СРО с первым уровнем ответственности (не превышает 60 миллионов рублей) в составе заявки не соответствует требованиям конкурсной документации и положениям ГрК</w:t>
      </w:r>
    </w:p>
    <w:p>
      <w:pPr>
        <w:pStyle w:val="Style3"/>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РФ.</w:t>
      </w:r>
    </w:p>
    <w:p>
      <w:pPr>
        <w:pStyle w:val="Style3"/>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Согласно ч. 4 ст. 54.7 Закона о контрактной системе заявка на участие в открытом конкурсе в электронной форме признается не соответствующей требованиям, установленным конкурсной документацией:</w:t>
      </w:r>
    </w:p>
    <w:p>
      <w:pPr>
        <w:pStyle w:val="Style3"/>
        <w:numPr>
          <w:ilvl w:val="0"/>
          <w:numId w:val="5"/>
        </w:numPr>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 xml:space="preserve"> в случае непредставления документов и информации, предусмотренных пунктами 1 - 3, 7 части 6 статьи 54.4 Закона о контрактной системе, либо несоответствия указанных документов и информации требованиям, установленным конкурсной документацией;</w:t>
      </w:r>
    </w:p>
    <w:p>
      <w:pPr>
        <w:pStyle w:val="Style3"/>
        <w:numPr>
          <w:ilvl w:val="0"/>
          <w:numId w:val="5"/>
        </w:numPr>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 xml:space="preserve"> в случае наличия в документах и информации, предусмотренных частью 11 статьи 24.1, частями 4 и 6 статьи 54.4 Закона о контрактной сисетеме, недостоверной информации на дату и время рассмотрения вторых частей заявок на участие в таком конкурсе;</w:t>
      </w:r>
    </w:p>
    <w:p>
      <w:pPr>
        <w:pStyle w:val="Style3"/>
        <w:numPr>
          <w:ilvl w:val="0"/>
          <w:numId w:val="5"/>
        </w:numPr>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 xml:space="preserve"> в случае несоответствия участника такого конкурса требованиям, установленным конкурсной документацией в соответствии с частью 1, частями 1.1 и 2.1 (при наличии таких требований) статьи 31 Закона о контрактной системе;</w:t>
      </w:r>
    </w:p>
    <w:p>
      <w:pPr>
        <w:pStyle w:val="Style3"/>
        <w:numPr>
          <w:ilvl w:val="0"/>
          <w:numId w:val="5"/>
        </w:numPr>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 xml:space="preserve"> в случаях, предусмотренных нормативными правовыми актами, принятыми в соответствии со статьей 14 Закона о контрактной системе;</w:t>
      </w:r>
    </w:p>
    <w:p>
      <w:pPr>
        <w:pStyle w:val="Style3"/>
        <w:numPr>
          <w:ilvl w:val="0"/>
          <w:numId w:val="5"/>
        </w:numPr>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 xml:space="preserve"> в случае непредставления документов, предусмотренных пунктом 5 части 6 статьи 54.4 Закона о контрактной системе, при осуществлении закупки товаров, работ, услуг, в отношении которых установлен запрет, предусмотренный статьей 14 Закона о контрактной системе.</w:t>
      </w:r>
    </w:p>
    <w:p>
      <w:pPr>
        <w:pStyle w:val="Style3"/>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Таким образом, Комиссия Управления приходит к выводу, что решение конкурсной комиссии Заказчика о признании заявки Заявителя несоответствующей требованиям конкурсной документации не противоречит требованиям Закона о контрактной системе.</w:t>
      </w:r>
    </w:p>
    <w:p>
      <w:pPr>
        <w:pStyle w:val="Style3"/>
        <w:widowControl w:val="0"/>
        <w:keepNext w:val="0"/>
        <w:keepLines w:val="0"/>
        <w:shd w:val="clear" w:color="auto" w:fill="auto"/>
        <w:bidi w:val="0"/>
        <w:jc w:val="both"/>
        <w:spacing w:before="0" w:after="349"/>
        <w:ind w:left="0" w:right="20" w:firstLine="72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9"/>
        <w:widowControl w:val="0"/>
        <w:keepNext/>
        <w:keepLines/>
        <w:shd w:val="clear" w:color="auto" w:fill="auto"/>
        <w:bidi w:val="0"/>
        <w:jc w:val="center"/>
        <w:spacing w:before="0" w:after="0" w:line="260" w:lineRule="exact"/>
        <w:ind w:left="20" w:right="0" w:firstLine="0"/>
      </w:pPr>
      <w:bookmarkStart w:id="1" w:name="bookmark1"/>
      <w:r>
        <w:rPr>
          <w:lang w:val="ru-RU" w:eastAsia="ru-RU" w:bidi="ru-RU"/>
          <w:w w:val="100"/>
          <w:spacing w:val="0"/>
          <w:color w:val="000000"/>
          <w:position w:val="0"/>
        </w:rPr>
        <w:t>РЕШИЛА:</w:t>
      </w:r>
      <w:bookmarkEnd w:id="1"/>
    </w:p>
    <w:p>
      <w:pPr>
        <w:pStyle w:val="Style3"/>
        <w:numPr>
          <w:ilvl w:val="0"/>
          <w:numId w:val="7"/>
        </w:numPr>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 xml:space="preserve"> Признать жалобу ООО «Доринжиниринг» на действия конкурсной комиссии Департамента развития новых территорий города Москвы необоснованной.</w:t>
      </w:r>
    </w:p>
    <w:p>
      <w:pPr>
        <w:pStyle w:val="Style3"/>
        <w:numPr>
          <w:ilvl w:val="0"/>
          <w:numId w:val="7"/>
        </w:numPr>
        <w:widowControl w:val="0"/>
        <w:keepNext w:val="0"/>
        <w:keepLines w:val="0"/>
        <w:shd w:val="clear" w:color="auto" w:fill="auto"/>
        <w:bidi w:val="0"/>
        <w:jc w:val="both"/>
        <w:spacing w:before="0" w:after="300"/>
        <w:ind w:left="0" w:right="20" w:firstLine="720"/>
      </w:pPr>
      <w:r>
        <w:rPr>
          <w:lang w:val="ru-RU" w:eastAsia="ru-RU" w:bidi="ru-RU"/>
          <w:w w:val="100"/>
          <w:spacing w:val="0"/>
          <w:color w:val="000000"/>
          <w:position w:val="0"/>
        </w:rPr>
        <w:t xml:space="preserve"> Снять ограничения на осуществление закупки, наложенные письмом Московского УФАС России от 21.10.2021 №ЕИ/64625/21.</w:t>
      </w:r>
    </w:p>
    <w:p>
      <w:pPr>
        <w:pStyle w:val="Style3"/>
        <w:widowControl w:val="0"/>
        <w:keepNext w:val="0"/>
        <w:keepLines w:val="0"/>
        <w:shd w:val="clear" w:color="auto" w:fill="auto"/>
        <w:bidi w:val="0"/>
        <w:jc w:val="both"/>
        <w:spacing w:before="0" w:after="43"/>
        <w:ind w:left="0" w:right="20" w:firstLine="72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3"/>
        <w:tabs>
          <w:tab w:leader="none" w:pos="10152" w:val="right"/>
          <w:tab w:leader="none" w:pos="10171"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Е.А.</w:t>
        <w:tab/>
        <w:t>Миронова</w:t>
      </w:r>
    </w:p>
    <w:p>
      <w:pPr>
        <w:pStyle w:val="Style3"/>
        <w:tabs>
          <w:tab w:leader="none" w:pos="8878" w:val="right"/>
          <w:tab w:leader="none" w:pos="10152"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Члены Комиссии</w:t>
        <w:tab/>
        <w:t>А.З.</w:t>
        <w:tab/>
        <w:t>Касимова</w:t>
      </w:r>
    </w:p>
    <w:p>
      <w:pPr>
        <w:pStyle w:val="Style3"/>
        <w:widowControl w:val="0"/>
        <w:keepNext w:val="0"/>
        <w:keepLines w:val="0"/>
        <w:shd w:val="clear" w:color="auto" w:fill="auto"/>
        <w:bidi w:val="0"/>
        <w:jc w:val="right"/>
        <w:spacing w:before="0" w:after="0" w:line="643" w:lineRule="exact"/>
        <w:ind w:left="0" w:right="20" w:firstLine="0"/>
      </w:pPr>
      <w:r>
        <w:rPr>
          <w:lang w:val="ru-RU" w:eastAsia="ru-RU" w:bidi="ru-RU"/>
          <w:w w:val="100"/>
          <w:spacing w:val="0"/>
          <w:color w:val="000000"/>
          <w:position w:val="0"/>
        </w:rPr>
        <w:t>Е.О. Сгибнев</w:t>
      </w:r>
    </w:p>
    <w:p>
      <w:pPr>
        <w:pStyle w:val="Style11"/>
        <w:widowControl w:val="0"/>
        <w:keepNext w:val="0"/>
        <w:keepLines w:val="0"/>
        <w:shd w:val="clear" w:color="auto" w:fill="auto"/>
        <w:bidi w:val="0"/>
        <w:spacing w:before="0" w:after="14" w:line="180" w:lineRule="exact"/>
        <w:ind w:left="0" w:right="0" w:firstLine="0"/>
      </w:pPr>
      <w:r>
        <w:rPr>
          <w:lang w:val="ru-RU" w:eastAsia="ru-RU" w:bidi="ru-RU"/>
          <w:w w:val="100"/>
          <w:spacing w:val="0"/>
          <w:color w:val="000000"/>
          <w:position w:val="0"/>
        </w:rPr>
        <w:t>Исп. Касимова А.З.</w:t>
      </w:r>
    </w:p>
    <w:p>
      <w:pPr>
        <w:pStyle w:val="Style11"/>
        <w:widowControl w:val="0"/>
        <w:keepNext w:val="0"/>
        <w:keepLines w:val="0"/>
        <w:shd w:val="clear" w:color="auto" w:fill="auto"/>
        <w:bidi w:val="0"/>
        <w:spacing w:before="0" w:after="0" w:line="180" w:lineRule="exact"/>
        <w:ind w:left="0" w:right="0" w:firstLine="0"/>
      </w:pPr>
      <w:r>
        <w:rPr>
          <w:lang w:val="ru-RU" w:eastAsia="ru-RU" w:bidi="ru-RU"/>
          <w:w w:val="100"/>
          <w:spacing w:val="0"/>
          <w:color w:val="000000"/>
          <w:position w:val="0"/>
        </w:rPr>
        <w:t>Тел. 8-495-784-75-05</w:t>
      </w:r>
    </w:p>
    <w:sectPr>
      <w:footnotePr>
        <w:pos w:val="pageBottom"/>
        <w:numFmt w:val="decimal"/>
        <w:numRestart w:val="continuous"/>
      </w:footnotePr>
      <w:type w:val="continuous"/>
      <w:pgSz w:w="11906" w:h="16838"/>
      <w:pgMar w:top="1123" w:left="854" w:right="833" w:bottom="103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26"/>
      <w:szCs w:val="26"/>
      <w:rFonts w:ascii="Times New Roman" w:eastAsia="Times New Roman" w:hAnsi="Times New Roman" w:cs="Times New Roman"/>
    </w:rPr>
  </w:style>
  <w:style w:type="character" w:customStyle="1" w:styleId="CharStyle8">
    <w:name w:val="Штрих-код (2)_"/>
    <w:basedOn w:val="DefaultParagraphFont"/>
    <w:link w:val="Style7"/>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3)_"/>
    <w:basedOn w:val="DefaultParagraphFont"/>
    <w:link w:val="Style11"/>
    <w:rPr>
      <w:b/>
      <w:bCs/>
      <w:i w:val="0"/>
      <w:iCs w:val="0"/>
      <w:u w:val="none"/>
      <w:strike w:val="0"/>
      <w:smallCaps w:val="0"/>
      <w:sz w:val="18"/>
      <w:szCs w:val="18"/>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spacing w:after="24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spacing w:before="1500" w:line="322" w:lineRule="exact"/>
      <w:ind w:firstLine="4360"/>
    </w:pPr>
    <w:rPr>
      <w:b/>
      <w:bCs/>
      <w:i w:val="0"/>
      <w:iCs w:val="0"/>
      <w:u w:val="none"/>
      <w:strike w:val="0"/>
      <w:smallCaps w:val="0"/>
      <w:sz w:val="26"/>
      <w:szCs w:val="26"/>
      <w:rFonts w:ascii="Times New Roman" w:eastAsia="Times New Roman" w:hAnsi="Times New Roman" w:cs="Times New Roman"/>
    </w:rPr>
  </w:style>
  <w:style w:type="paragraph" w:customStyle="1" w:styleId="Style7">
    <w:name w:val="Штрих-код (2)"/>
    <w:basedOn w:val="Normal"/>
    <w:link w:val="CharStyle8"/>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jc w:val="both"/>
      <w:spacing w:after="6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