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4"/>
        <w:ind w:left="5340" w:right="240" w:firstLine="0"/>
      </w:pPr>
      <w:r>
        <w:rPr>
          <w:lang w:val="ru-RU" w:eastAsia="ru-RU" w:bidi="ru-RU"/>
          <w:w w:val="100"/>
          <w:spacing w:val="0"/>
          <w:color w:val="000000"/>
          <w:position w:val="0"/>
        </w:rPr>
        <w:t>Департамент города Москвы по конкурентной политике</w:t>
      </w:r>
    </w:p>
    <w:p>
      <w:pPr>
        <w:pStyle w:val="Style5"/>
        <w:widowControl w:val="0"/>
        <w:keepNext w:val="0"/>
        <w:keepLines w:val="0"/>
        <w:shd w:val="clear" w:color="auto" w:fill="auto"/>
        <w:bidi w:val="0"/>
        <w:jc w:val="left"/>
        <w:spacing w:before="0" w:after="255" w:line="278" w:lineRule="exact"/>
        <w:ind w:left="5340" w:right="240" w:firstLine="0"/>
      </w:pPr>
      <w:r>
        <w:rPr>
          <w:lang w:val="ru-RU" w:eastAsia="ru-RU" w:bidi="ru-RU"/>
          <w:w w:val="100"/>
          <w:spacing w:val="0"/>
          <w:color w:val="000000"/>
          <w:position w:val="0"/>
        </w:rPr>
        <w:t>Макаренко ул., д. 4, стр. 1, г. Москва, 105062</w:t>
      </w:r>
    </w:p>
    <w:p>
      <w:pPr>
        <w:pStyle w:val="Style5"/>
        <w:widowControl w:val="0"/>
        <w:keepNext w:val="0"/>
        <w:keepLines w:val="0"/>
        <w:shd w:val="clear" w:color="auto" w:fill="auto"/>
        <w:bidi w:val="0"/>
        <w:jc w:val="left"/>
        <w:spacing w:before="0" w:after="232" w:line="260" w:lineRule="exact"/>
        <w:ind w:left="5340" w:right="0" w:firstLine="0"/>
      </w:pPr>
      <w:r>
        <w:rPr>
          <w:lang w:val="ru-RU" w:eastAsia="ru-RU" w:bidi="ru-RU"/>
          <w:w w:val="100"/>
          <w:spacing w:val="0"/>
          <w:color w:val="000000"/>
          <w:position w:val="0"/>
        </w:rPr>
        <w:t>АО «Аргументы и факты»</w:t>
      </w:r>
    </w:p>
    <w:p>
      <w:pPr>
        <w:pStyle w:val="Style5"/>
        <w:widowControl w:val="0"/>
        <w:keepNext w:val="0"/>
        <w:keepLines w:val="0"/>
        <w:shd w:val="clear" w:color="auto" w:fill="auto"/>
        <w:bidi w:val="0"/>
        <w:jc w:val="left"/>
        <w:spacing w:before="0" w:after="1558" w:line="260" w:lineRule="exact"/>
        <w:ind w:left="5340" w:right="0" w:firstLine="0"/>
      </w:pPr>
      <w:r>
        <w:rPr>
          <w:lang w:val="ru-RU" w:eastAsia="ru-RU" w:bidi="ru-RU"/>
          <w:w w:val="100"/>
          <w:spacing w:val="0"/>
          <w:color w:val="000000"/>
          <w:position w:val="0"/>
        </w:rPr>
        <w:t>ул. Мясницкая, д. 42, г. Москва, 101000</w:t>
      </w:r>
    </w:p>
    <w:p>
      <w:pPr>
        <w:pStyle w:val="Style8"/>
        <w:tabs>
          <w:tab w:leader="none" w:pos="9141" w:val="right"/>
          <w:tab w:leader="none" w:pos="10197" w:val="right"/>
        </w:tabs>
        <w:widowControl w:val="0"/>
        <w:keepNext w:val="0"/>
        <w:keepLines w:val="0"/>
        <w:shd w:val="clear" w:color="auto" w:fill="auto"/>
        <w:bidi w:val="0"/>
        <w:jc w:val="left"/>
        <w:spacing w:before="0" w:after="0"/>
        <w:ind w:left="40" w:right="20" w:firstLine="4360"/>
      </w:pPr>
      <w:r>
        <w:rPr>
          <w:lang w:val="ru-RU" w:eastAsia="ru-RU" w:bidi="ru-RU"/>
          <w:w w:val="100"/>
          <w:spacing w:val="0"/>
          <w:color w:val="000000"/>
          <w:position w:val="0"/>
        </w:rPr>
        <w:t>РЕШЕНИЕ по делу №077/06/106-18982/2021 о нарушении законодательства о контрактной системе 25.10.2021</w:t>
        <w:tab/>
        <w:t>г.</w:t>
        <w:tab/>
        <w:t>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 первого разряда отдела обжалования государственных закупок Э.З. Гугава,</w:t>
      </w:r>
    </w:p>
    <w:p>
      <w:pPr>
        <w:pStyle w:val="Style5"/>
        <w:widowControl w:val="0"/>
        <w:keepNext w:val="0"/>
        <w:keepLines w:val="0"/>
        <w:shd w:val="clear" w:color="auto" w:fill="auto"/>
        <w:bidi w:val="0"/>
        <w:jc w:val="both"/>
        <w:spacing w:before="0" w:after="0" w:line="322" w:lineRule="exact"/>
        <w:ind w:left="40" w:right="20" w:firstLine="8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82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40" w:right="20" w:firstLine="820"/>
      </w:pPr>
      <w:r>
        <w:rPr>
          <w:lang w:val="ru-RU" w:eastAsia="ru-RU" w:bidi="ru-RU"/>
          <w:w w:val="100"/>
          <w:spacing w:val="0"/>
          <w:color w:val="000000"/>
          <w:position w:val="0"/>
        </w:rPr>
        <w:t>Департамента города Москвы по конкурентной политике: Д.Ф. Гильмановой (доверенность от 25.08.2021 №77-13-13/21-27),</w:t>
      </w:r>
    </w:p>
    <w:p>
      <w:pPr>
        <w:pStyle w:val="Style5"/>
        <w:tabs>
          <w:tab w:leader="none" w:pos="7110" w:val="left"/>
        </w:tabs>
        <w:widowControl w:val="0"/>
        <w:keepNext w:val="0"/>
        <w:keepLines w:val="0"/>
        <w:shd w:val="clear" w:color="auto" w:fill="auto"/>
        <w:bidi w:val="0"/>
        <w:jc w:val="both"/>
        <w:spacing w:before="0" w:after="0" w:line="322" w:lineRule="exact"/>
        <w:ind w:left="40" w:right="20" w:firstLine="820"/>
      </w:pPr>
      <w:r>
        <w:rPr>
          <w:lang w:val="ru-RU" w:eastAsia="ru-RU" w:bidi="ru-RU"/>
          <w:w w:val="100"/>
          <w:spacing w:val="0"/>
          <w:color w:val="000000"/>
          <w:position w:val="0"/>
        </w:rPr>
        <w:t>АО «Аргументы и факты»: А.А. Ю</w:t>
      </w:r>
      <w:r>
        <w:rPr>
          <w:rStyle w:val="CharStyle10"/>
        </w:rPr>
        <w:t>ши</w:t>
      </w:r>
      <w:r>
        <w:rPr>
          <w:lang w:val="ru-RU" w:eastAsia="ru-RU" w:bidi="ru-RU"/>
          <w:w w:val="100"/>
          <w:spacing w:val="0"/>
          <w:color w:val="000000"/>
          <w:position w:val="0"/>
        </w:rPr>
        <w:t>ной (доверенность от 22.10.2021 №б/н), Ю.С. Латынниковой (доверенность от 22.10.2021</w:t>
        <w:tab/>
        <w:t>№б/н), М.В. Петровой</w:t>
      </w:r>
    </w:p>
    <w:p>
      <w:pPr>
        <w:pStyle w:val="Style5"/>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(доверенность от 01.01.2021 №01/21),</w:t>
      </w:r>
    </w:p>
    <w:p>
      <w:pPr>
        <w:pStyle w:val="Style3"/>
        <w:framePr w:w="1685" w:h="394" w:wrap="around" w:vAnchor="text" w:hAnchor="margin" w:x="385" w:y="208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000298903131</w:t>
      </w:r>
    </w:p>
    <w:p>
      <w:pPr>
        <w:pStyle w:val="Style5"/>
        <w:widowControl w:val="0"/>
        <w:keepNext w:val="0"/>
        <w:keepLines w:val="0"/>
        <w:shd w:val="clear" w:color="auto" w:fill="auto"/>
        <w:bidi w:val="0"/>
        <w:jc w:val="both"/>
        <w:spacing w:before="0" w:after="0" w:line="322" w:lineRule="exact"/>
        <w:ind w:left="40" w:right="20" w:firstLine="820"/>
      </w:pPr>
      <w:r>
        <w:rPr>
          <w:lang w:val="ru-RU" w:eastAsia="ru-RU" w:bidi="ru-RU"/>
          <w:w w:val="100"/>
          <w:spacing w:val="0"/>
          <w:color w:val="000000"/>
          <w:position w:val="0"/>
        </w:rPr>
        <w:t xml:space="preserve">рассмотрев жалобу АО «Аргументы и факты» (далее — Заявитель) на действия Департамента города Москвы по конкурентной политике (далее — Заказчики) при проведении открытого конкурса в электронной форме на право заключения государственного контракта на оказание комплекса услуг по </w:t>
      </w:r>
      <w:r>
        <w:rPr>
          <w:lang w:val="en-US" w:eastAsia="en-US" w:bidi="en-US"/>
          <w:w w:val="100"/>
          <w:spacing w:val="0"/>
          <w:color w:val="000000"/>
          <w:position w:val="0"/>
        </w:rPr>
        <w:t>PR</w:t>
      </w:r>
      <w:r>
        <w:rPr>
          <w:lang w:val="ru-RU" w:eastAsia="ru-RU" w:bidi="ru-RU"/>
          <w:w w:val="100"/>
          <w:spacing w:val="0"/>
          <w:color w:val="000000"/>
          <w:position w:val="0"/>
        </w:rPr>
        <w:t>- сопровождению и освещению в СМИ деятельности Департамента города Москвы по конкурентной политике (Закупка № 0173200001421001314) (далее - открытый</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конкурс,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1"/>
        <w:widowControl w:val="0"/>
        <w:keepNext/>
        <w:keepLines/>
        <w:shd w:val="clear" w:color="auto" w:fill="auto"/>
        <w:bidi w:val="0"/>
        <w:jc w:val="left"/>
        <w:spacing w:before="0" w:after="322"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Заказчиков при проведении открытого конкурса.</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21.10.2021 № ЕИ/64624/21.</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протоколу подведения итогов открытого конкурса в электронной форме от 13.10.2021 №ППИ1 вторая часть заявки АО «Аргументы и факты» признана не соответствующей требованиям конкурсной документации на следующем основании: «Заявка участника открытого конкурса электронной форме признана не соответствующей требованиям документации по проведению конкурса в электронной форме по основаниям, предусмотренным п. 3 ч. 4 ст. 54.7 и ч.6 ст.45 Федерального Закона от 05.04.2013 г. № 44-ФЗ ввиду несоответствия участника требованиям, установленным конкурсной документацией (п.28.1 раздела IV «Размер и порядок обеспечения заявок на участие в закупке, обеспечения исполнения контракта, гарантийных обязательств»), а именно:</w:t>
      </w:r>
    </w:p>
    <w:p>
      <w:pPr>
        <w:pStyle w:val="Style5"/>
        <w:tabs>
          <w:tab w:leader="none" w:pos="7134" w:val="left"/>
        </w:tabs>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требования к банковской гарантии утверждены постановлением Правительства Российской Федерации от 08.11.2013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Условием Гарантии предусмотрено, что к Требованию должны быть приложены следующие документы:</w:t>
        <w:tab/>
        <w:t>- Заверенный печатью</w:t>
      </w:r>
    </w:p>
    <w:p>
      <w:pPr>
        <w:pStyle w:val="Style5"/>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Бенефициара расчет суммы, включаемой в Требование по гарантии.</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Установление требования о предоставлении заказчиком гаранту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 1005 не допускается, таким образом требование предоставления расчета суммы одновременно с Требованием по Гарантии установлено неправомерно».</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ч.1 ст.45 Закона о контрактной системе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ст.45 Закона о контрактной системе.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ч.4 ст.44 Закона о контрактной системе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статьи 45 Закона о контрактной системе.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ч.6 ст.45 Закона о контрактной системе основанием для отказа в принятии банковской гарантии заказчиком является:</w:t>
      </w:r>
    </w:p>
    <w:p>
      <w:pPr>
        <w:pStyle w:val="Style5"/>
        <w:numPr>
          <w:ilvl w:val="0"/>
          <w:numId w:val="1"/>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отсутствие информации о банковской гарантии в предусмотренных ст.45 Закона о контрактной системе реестрах банковских гарантий;</w:t>
      </w:r>
    </w:p>
    <w:p>
      <w:pPr>
        <w:pStyle w:val="Style5"/>
        <w:numPr>
          <w:ilvl w:val="0"/>
          <w:numId w:val="1"/>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несоответствие банковской гарантии условиям, указанным в частях 2 и 3 ст.45 Закона о контрактной системе;</w:t>
      </w:r>
    </w:p>
    <w:p>
      <w:pPr>
        <w:pStyle w:val="Style5"/>
        <w:numPr>
          <w:ilvl w:val="0"/>
          <w:numId w:val="1"/>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На основании п.4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На заседании Комиссии Управления установлено, что Заявителем в качестве обеспечения заявки представлена банковская гарантия №ЭГ-351818/21 от 04.10.2021, выданная АО «Экспобанк» (далее — банковская гарантия).</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Также Комиссией Управления установлено, что п.28 Информационной карты документации о проведении открытого конкурса в электронной форме содержит требования к размеру и порядку обеспечения заявок на участие в открытом конкурсе в электронной форме, а именно: «Сумма обеспечения заявки на участие в открытом конкурсе в электронной форме предусмотрена в следующем размере: 4 924 953,70 руб. (5% от начальной (максимальной) цены контракта). НДС не облагается».</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При этом, в соответствии с п.28.1 Информационной карты конкурсной документации «Банковская гарантия, выданная участнику закупки банком для целей обеспечения заявки на участие в закупке, должна соответствовать требованиям статьи 45 Федерального закона, постановления Правительства Российской Федерации от 08.11.2013 г. № 1005».</w:t>
      </w:r>
    </w:p>
    <w:p>
      <w:pPr>
        <w:pStyle w:val="Style5"/>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Ч.2 ст.45 Закона о контрактной системе установлен перечень информации,</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которая должна содержать банковская гарантия.</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Согласно ч.8.2 ст.45 Закона о контрактной системе дополнительные 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На заседании Комиссии Управления представители Заказчика пояснили, что в Банковской гарантии установлен перечень документов, представляемых Заказчиком банку одно временно с требованием об осуществлении уплаты денежной суммы по банковской гарантии, а именно: заверенный печатью Бенефициара расчет суммы, включаемой в требование по банковской гарантии, что противоречит требованиям постановления Правительства РФ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w:t>
      </w:r>
      <w:r>
        <w:rPr>
          <w:rStyle w:val="CharStyle10"/>
        </w:rPr>
        <w:t>ици</w:t>
      </w:r>
      <w:r>
        <w:rPr>
          <w:lang w:val="ru-RU" w:eastAsia="ru-RU" w:bidi="ru-RU"/>
          <w:w w:val="100"/>
          <w:spacing w:val="0"/>
          <w:color w:val="000000"/>
          <w:position w:val="0"/>
        </w:rPr>
        <w:t>пальных нужд» (далее государственных и муниципальных нужд» (далее - постановление Правительства №1005).</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Пунктом 1 постановления Правительства №1005 утвержден, в том числе, перечень документов, представляемых заказчиком банку одновременно с требованием об осуществлении уплаты денежной суммы по банковской гарантии (далее Перечень).</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При этом согласно п.1 Перечня Бенефициар одновременно с требованием об осуществлении уплаты денежной суммы по банковской гарантии (далее требование по банковской гарантии), предоставленной в качестве обеспечения заявки, направляет гаранту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Таким образом, как пояснил представитель Заказчика, согласно постановлению Правительства №1005 бенефициар одновременно с требованием об осуществлении уплаты денежной суммы по банковской гарантии, предоставление в качестве обеспечения заявки, направляет гаранту только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 без расчета суммы, включаемой в требование по банковской гарантии.</w:t>
      </w:r>
    </w:p>
    <w:p>
      <w:pPr>
        <w:pStyle w:val="Style5"/>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свою очередь, по мнению Заявителя в Перечне постановления Правительства № 1005 не указано, что документы, включенные в данный перечень, являются исчерпывающими и не могут быть расширены.</w:t>
      </w:r>
    </w:p>
    <w:p>
      <w:pPr>
        <w:pStyle w:val="Style5"/>
        <w:tabs>
          <w:tab w:leader="none" w:pos="10191" w:val="righ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Вместе с тем, Комиссия Управления отмечает, что положениями постановления Правительства №1005 напротив предусмотрен прямой запрет на включение в банковской гарантии требований о предоставлении документов, не предусмотренных перечнем, а именно: установлена недопустимость включения в банковскую гарантию 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(п.</w:t>
        <w:tab/>
        <w:t>«б»</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дополнительных требований к банковской гарантии установленных постановлением Правительства №1005 ).</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При таких данных, Комиссия Управления приходит к выводу о том, что представленная Заявителем банковская гарантия напрямую не соответствует аукционной документации, а также положениям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ч.4 ст.54.7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в случае непредставления документов и информации, предусмотренных пунктами 1 - 3, 7 части 6 статьи 54.4 Закона о контрактной системе, либо несоответствия указанных документов и информации требованиям, установленным конкурсной документацией;</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в случае наличия в документах и информации, предусмотренных частью 11 статьи 24.1, частями 4 и 6 статьи 54.4 Закона о контрактной системе, недостоверной информации на дату и время рассмотрения вторых частей заявок на участие в таком конкурсе;</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в случаях, предусмотренных нормативными правовыми актами, принятыми в соответствии со статьей 14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в случае непредставления документов, предусмотренных пунктом 5 части 6 статьи 54.4 Закона о контрактной системе, при осуществлении закупки товаров, работ, услуг, в отношении которых установлен запрет, предусмотренный статьей 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конкурсной документации и принятие конкурсной комиссией решения в части признания заявки Заявителя не соответствующей является правомерным.</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r>
        <w:br w:type="page"/>
      </w:r>
    </w:p>
    <w:p>
      <w:pPr>
        <w:pStyle w:val="Style8"/>
        <w:widowControl w:val="0"/>
        <w:keepNext w:val="0"/>
        <w:keepLines w:val="0"/>
        <w:shd w:val="clear" w:color="auto" w:fill="auto"/>
        <w:bidi w:val="0"/>
        <w:jc w:val="center"/>
        <w:spacing w:before="0" w:after="319" w:line="260" w:lineRule="exact"/>
        <w:ind w:left="20" w:right="0" w:firstLine="0"/>
      </w:pPr>
      <w:r>
        <w:rPr>
          <w:lang w:val="ru-RU" w:eastAsia="ru-RU" w:bidi="ru-RU"/>
          <w:w w:val="100"/>
          <w:spacing w:val="0"/>
          <w:color w:val="000000"/>
          <w:position w:val="0"/>
        </w:rPr>
        <w:t>РЕШИЛА:</w:t>
      </w:r>
    </w:p>
    <w:p>
      <w:pPr>
        <w:pStyle w:val="Style5"/>
        <w:numPr>
          <w:ilvl w:val="0"/>
          <w:numId w:val="5"/>
        </w:numPr>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 xml:space="preserve"> Признать жалобу АО «Аргументы и факты» на действия конкурсной комиссии Департамента города Москвы по конкурентной политике необоснованной.</w:t>
      </w:r>
    </w:p>
    <w:p>
      <w:pPr>
        <w:pStyle w:val="Style5"/>
        <w:numPr>
          <w:ilvl w:val="0"/>
          <w:numId w:val="5"/>
        </w:numPr>
        <w:widowControl w:val="0"/>
        <w:keepNext w:val="0"/>
        <w:keepLines w:val="0"/>
        <w:shd w:val="clear" w:color="auto" w:fill="auto"/>
        <w:bidi w:val="0"/>
        <w:jc w:val="both"/>
        <w:spacing w:before="0" w:after="240" w:line="307" w:lineRule="exact"/>
        <w:ind w:left="2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открытого конкурса в электронной форме, наложенные письмом Московского УФАС России от 21.10.2021 № ЕИ/64624/21.</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518" w:line="260" w:lineRule="exact"/>
        <w:ind w:left="20" w:right="0" w:firstLine="0"/>
      </w:pPr>
      <w:r>
        <w:rPr>
          <w:lang w:val="ru-RU" w:eastAsia="ru-RU" w:bidi="ru-RU"/>
          <w:w w:val="100"/>
          <w:spacing w:val="0"/>
          <w:color w:val="000000"/>
          <w:position w:val="0"/>
        </w:rPr>
        <w:t>гл. 24 АПК РФ.</w:t>
      </w:r>
    </w:p>
    <w:p>
      <w:pPr>
        <w:pStyle w:val="Style5"/>
        <w:framePr w:w="2152" w:h="1296" w:wrap="around" w:vAnchor="text" w:hAnchor="margin" w:x="7996" w:y="-148"/>
        <w:widowControl w:val="0"/>
        <w:keepNext w:val="0"/>
        <w:keepLines w:val="0"/>
        <w:shd w:val="clear" w:color="auto" w:fill="auto"/>
        <w:bidi w:val="0"/>
        <w:jc w:val="right"/>
        <w:spacing w:before="0" w:after="0" w:line="432" w:lineRule="exact"/>
        <w:ind w:left="100" w:right="0" w:firstLine="0"/>
      </w:pPr>
      <w:r>
        <w:rPr>
          <w:rStyle w:val="CharStyle6"/>
          <w:spacing w:val="0"/>
        </w:rPr>
        <w:t>Д.С. Грешнева А.А. Кутейников Э.З. Гугава</w:t>
      </w:r>
    </w:p>
    <w:p>
      <w:pPr>
        <w:pStyle w:val="Style5"/>
        <w:widowControl w:val="0"/>
        <w:keepNext w:val="0"/>
        <w:keepLines w:val="0"/>
        <w:shd w:val="clear" w:color="auto" w:fill="auto"/>
        <w:bidi w:val="0"/>
        <w:jc w:val="left"/>
        <w:spacing w:before="0" w:after="8258" w:line="427" w:lineRule="exact"/>
        <w:ind w:left="20" w:right="3500" w:firstLine="0"/>
      </w:pPr>
      <w:r>
        <w:rPr>
          <w:lang w:val="ru-RU" w:eastAsia="ru-RU" w:bidi="ru-RU"/>
          <w:w w:val="100"/>
          <w:spacing w:val="0"/>
          <w:color w:val="000000"/>
          <w:position w:val="0"/>
        </w:rPr>
        <w:t>Заместитель председателя Комиссии Члены Комиссии:</w:t>
      </w:r>
    </w:p>
    <w:p>
      <w:pPr>
        <w:pStyle w:val="Style15"/>
        <w:widowControl w:val="0"/>
        <w:keepNext w:val="0"/>
        <w:keepLines w:val="0"/>
        <w:shd w:val="clear" w:color="auto" w:fill="auto"/>
        <w:bidi w:val="0"/>
        <w:jc w:val="left"/>
        <w:spacing w:before="0" w:after="0"/>
        <w:ind w:left="20" w:right="3500" w:firstLine="0"/>
      </w:pPr>
      <w:r>
        <w:rPr>
          <w:lang w:val="ru-RU" w:eastAsia="ru-RU" w:bidi="ru-RU"/>
          <w:w w:val="100"/>
          <w:spacing w:val="0"/>
          <w:color w:val="000000"/>
          <w:position w:val="0"/>
        </w:rPr>
        <w:t>Исп. Гугава Эдуард Звиадович 8 (495)784-75-05</w:t>
      </w:r>
    </w:p>
    <w:sectPr>
      <w:footnotePr>
        <w:pos w:val="pageBottom"/>
        <w:numFmt w:val="decimal"/>
        <w:numRestart w:val="continuous"/>
      </w:footnotePr>
      <w:type w:val="continuous"/>
      <w:pgSz w:w="11906" w:h="16838"/>
      <w:pgMar w:top="1080"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rebuchet MS" w:eastAsia="Trebuchet MS" w:hAnsi="Trebuchet MS" w:cs="Trebuchet MS"/>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7"/>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 Trebuchet MS,10,5 pt"/>
    <w:basedOn w:val="CharStyle7"/>
    <w:rPr>
      <w:lang w:val="ru-RU" w:eastAsia="ru-RU" w:bidi="ru-RU"/>
      <w:sz w:val="21"/>
      <w:szCs w:val="21"/>
      <w:rFonts w:ascii="Trebuchet MS" w:eastAsia="Trebuchet MS" w:hAnsi="Trebuchet MS" w:cs="Trebuchet MS"/>
      <w:w w:val="100"/>
      <w:spacing w:val="0"/>
      <w:color w:val="000000"/>
      <w:position w:val="0"/>
    </w:rPr>
  </w:style>
  <w:style w:type="character" w:customStyle="1" w:styleId="CharStyle14">
    <w:name w:val="Основной текст + Trebuchet MS,14 pt"/>
    <w:basedOn w:val="CharStyle7"/>
    <w:rPr>
      <w:lang w:val="ru-RU" w:eastAsia="ru-RU" w:bidi="ru-RU"/>
      <w:sz w:val="28"/>
      <w:szCs w:val="28"/>
      <w:rFonts w:ascii="Trebuchet MS" w:eastAsia="Trebuchet MS" w:hAnsi="Trebuchet MS" w:cs="Trebuchet MS"/>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240" w:line="28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16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810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