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/>
        <w:keepLines/>
        <w:shd w:val="clear" w:color="auto" w:fill="auto"/>
        <w:bidi w:val="0"/>
        <w:spacing w:before="195" w:after="0"/>
        <w:ind w:left="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 УПРАВЛЕ</w:t>
      </w:r>
      <w:r>
        <w:rPr>
          <w:rStyle w:val="CharStyle5"/>
          <w:b/>
          <w:bCs/>
        </w:rPr>
        <w:t>НИЕ</w:t>
      </w:r>
      <w:bookmarkEnd w:id="0"/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Федеральной антимонопольной службы по Свердловской области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 осударственное учреждение - Свердловское региональное отделение Фонда социального страхования Российской Федерации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323" w:line="1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*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 w:line="19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«ИНТРА»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314" w:line="19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*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12" w:line="19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«РТС-тендер»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120" w:lineRule="exact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889" w:left="1803" w:right="1275" w:bottom="918" w:header="0" w:footer="3" w:gutter="0"/>
          <w:rtlGutter w:val="0"/>
          <w:cols w:num="2" w:space="720" w:equalWidth="0">
            <w:col w:w="3653" w:space="710"/>
            <w:col w:w="4464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*</w:t>
      </w:r>
    </w:p>
    <w:p>
      <w:pPr>
        <w:widowControl w:val="0"/>
        <w:spacing w:line="218" w:lineRule="exact"/>
        <w:rPr>
          <w:sz w:val="17"/>
          <w:szCs w:val="17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224"/>
        <w:ind w:left="5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Московская, 11, г. Екатеринбург, 620014 тел. (343) 377-00-83, факс (343) 377-00-84 </w:t>
      </w:r>
      <w:r>
        <w:rPr>
          <w:lang w:val="en-US" w:eastAsia="en-US" w:bidi="en-US"/>
          <w:w w:val="100"/>
          <w:spacing w:val="0"/>
          <w:color w:val="000000"/>
          <w:position w:val="0"/>
        </w:rPr>
        <w:t>e-mail:</w:t>
      </w:r>
      <w:r>
        <w:fldChar w:fldCharType="begin"/>
      </w:r>
      <w:r>
        <w:rPr>
          <w:color w:val="000000"/>
        </w:rPr>
        <w:instrText> HYPERLINK "mailto:to66@fas.gov.ru"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 xml:space="preserve"> to66@fas.gov.ru</w:t>
      </w:r>
      <w:r>
        <w:fldChar w:fldCharType="end"/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452" w:line="190" w:lineRule="exact"/>
        <w:ind w:left="250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№</w:t>
      </w:r>
    </w:p>
    <w:p>
      <w:pPr>
        <w:pStyle w:val="Style8"/>
        <w:tabs>
          <w:tab w:leader="none" w:pos="9513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212" w:line="230" w:lineRule="exact"/>
        <w:ind w:left="220" w:right="140" w:firstLine="41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по жалобе № 066/06/106-3808/2021 г. Екатеринбург</w:t>
        <w:tab/>
        <w:t>25.10.2021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9" w:line="190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Свердловской области по контролю в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сфере закупок (далее по тексту - Комиссия) в составе: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190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*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посредством использования интернет-видеоконференции, которая обеспечивает возможность участия сторон, в 11-30, при участии представителей:</w:t>
      </w:r>
    </w:p>
    <w:p>
      <w:pPr>
        <w:pStyle w:val="Style8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заказчика в лице Государственного учреждения - Свердловское региональное отделение Фонда социального страхования Российской Федерации - *</w:t>
      </w:r>
    </w:p>
    <w:p>
      <w:pPr>
        <w:pStyle w:val="Style8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отсутствии заявителя жалобы в лице ООО «Интра», уведомленного надлежащим образом о времени и месте рассмотрения жалобы,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209" w:line="226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жалобу ООО «Интра» (600022, г. Владимир, ул. Ставровская, д. 4Б) о нарушении заказчиком в лице Государственного учреждения - Свердловское региональное отделение Фонда социального страхования Российской Федерации (620014, Свердловская область, город Екатеринбург, улица Шейнкмана, дом 55), его комиссией при осуществлении закупки путем проведения процедуры открытого конкурса в электронной форме на выполнение работ по изготовлению протезов нижних конечностей для обеспечения инвалидов в 2021 году (извещение № 0262100002921000340),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по тексту - Закон о контрактной системе), и в результате осуществления внеплановой проверки в соответствии со статьей 99, 106 Закона о контрактной системе,</w:t>
      </w:r>
    </w:p>
    <w:p>
      <w:pPr>
        <w:pStyle w:val="Style3"/>
        <w:widowControl w:val="0"/>
        <w:keepNext/>
        <w:keepLines/>
        <w:shd w:val="clear" w:color="auto" w:fill="auto"/>
        <w:bidi w:val="0"/>
        <w:spacing w:before="0" w:after="101" w:line="190" w:lineRule="exact"/>
        <w:ind w:left="0" w:right="2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У С Т А Н О В И Л А:</w:t>
      </w:r>
      <w:bookmarkEnd w:id="1"/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Управление Федеральной антимонопольной службы по Свердловской области поступила жалоба ООО «Интра» (вх. № 01-28791 от 20.10.2021г.) о нарушении заказчиком в Государственного учреждения - Свердловское региональное отделение Фонда социального страхования Российской Федерации, его комиссией при осуществлении закупки путем проведения процедуры открытого конкурса в электронной форме на выполнение работ по изготовлению протезов нижних конечностей для обеспечения инвалидов в 2021 году (извещение № 0262100002921000340), Закона о контрактной системе, соответствующая требованиям ст.105 Закона о контрактной системе.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своей жалобе заявитель ООО «Интра» указал, что положения закупочной документации противоречат Закону о контрактной системе.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Представитель заказчика с доводами жалобы не согласился, просил признать жалобу необоснованной.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рассмотрена в порядке, предусмотренном статьей 106 Закона о контрактной системе. Проведя анализ представленных материалов на рассмотрение жалобы, Комиссия пришла к следующим выводам.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28.09.2021г. на официальном сайте опубликовано извещение о проведении открытого конкурса в электронной форме № 0262100002921000340 и конкурсная документация на выполнение работ по изготовлению протезов нижних конечностей для обеспечения инвалидов в 2021 году.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Начальная (максимальная) цена контракта составила 14 884 701, 35 рублей.</w:t>
      </w:r>
      <w:r>
        <w:br w:type="page"/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35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Под открытым конкурсом в электронной форме понимается конкурс,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 (ч.1 ст.54.1 Закона о контрактной системе).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35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 8 ч. 1 ст. 54.3 Закона о контрактной системе конкурсная документация наряду с информацией, указанной в извещении о проведении открытого конкурса в электронной форме, должна содержать критерии оценки заявок на участие в открытом конкурсе в электронной форме, величины значимости этих критериев, порядок рассмотрения и оценки заявок на участие в открытом конкурсе в электронной форме в соответствии с настоящим Федеральным законом.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35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Частью 1 ст. 32 Закона о контрактной системе установлено, что для оценки заявок, окончательных предложений участников закупки заказчик в документации о закупке устанавливает следующие критерии:</w:t>
      </w:r>
    </w:p>
    <w:p>
      <w:pPr>
        <w:pStyle w:val="Style8"/>
        <w:numPr>
          <w:ilvl w:val="0"/>
          <w:numId w:val="3"/>
        </w:numPr>
        <w:tabs>
          <w:tab w:leader="none" w:pos="139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35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цена контракта, сумма цен единиц товара, работы, услуги;</w:t>
      </w:r>
    </w:p>
    <w:p>
      <w:pPr>
        <w:pStyle w:val="Style8"/>
        <w:numPr>
          <w:ilvl w:val="0"/>
          <w:numId w:val="3"/>
        </w:numPr>
        <w:tabs>
          <w:tab w:leader="none" w:pos="139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35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расходы на эксплуатацию и ремонт товаров, использование результатов работ;</w:t>
      </w:r>
    </w:p>
    <w:p>
      <w:pPr>
        <w:pStyle w:val="Style8"/>
        <w:numPr>
          <w:ilvl w:val="0"/>
          <w:numId w:val="3"/>
        </w:numPr>
        <w:tabs>
          <w:tab w:leader="none" w:pos="139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35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качественные, функциональные и экологические характеристики объекта закупки;</w:t>
      </w:r>
    </w:p>
    <w:p>
      <w:pPr>
        <w:pStyle w:val="Style8"/>
        <w:numPr>
          <w:ilvl w:val="0"/>
          <w:numId w:val="3"/>
        </w:numPr>
        <w:tabs>
          <w:tab w:leader="none" w:pos="139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35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35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8 ст. 32 Закона о контрактной системе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порядок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оценки заявок, окончательных предложений участников закупки, в том числе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предельные величины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значимости каждого критерия, устанавливается Правительством Российской Федерации. Заказчик для целей оценки заявок, окончательных предложений участников закупки в случае, если в соответствии с законодательством Российской Федерации установлены регулируемые цены (тарифы) на товары, работы, услуги, вправе не использовать критерии, указанные в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пунктах 1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2 части 1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настоящей статьи.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35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Постановлением Правительства РФ от 28.11.2013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1085 «Об утверждении Правил оценки заявок, окончательных предложений участников закупки товаров, работ, услуг для обеспечения государственных и муниципальных нужд» (далее - Постановление Правительства РФ от 28.11.2013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1085) установлен указанный порядок оценки заявок.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35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пунктом 4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Правил для оценки заявок (предложений) заказчик устанавливает в документации о закупке стоимостные критерии оценки (в том числе, цена контракта), а также нестоимостные критерии оценки (качественные, функциональные и экологические характеристики объекта закупки, а также квалификация участников закупки). При этом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пунктом 10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Правил установлено, что в документации о закупке в отношении нестоимостных критериев оценки могут быть предусмотрены показатели, раскрывающие содержание нестоимостных критериев оценки и учитывающие особенности оценки закупаемых товаров, работ, услуг по нестоимостным критериям оценки.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35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Согласно п. 27 раздела 3 Постановления Правительства РФ от 28.11.2013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1085 показателями нестоимостного критерия оценки «квалификация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могут быть следующие показатели (с учетом особенностей, предусмотренных</w:t>
      </w:r>
      <w:r>
        <w:fldChar w:fldCharType="begin"/>
      </w:r>
      <w:r>
        <w:rPr>
          <w:color w:val="000000"/>
        </w:rPr>
        <w:instrText> HYPERLINK "http://www.consultant.ru/document/cons_doc_LAW_155055/0a344653388e7c3943ab74278ec5c0715ead5d6f/%23dst7" </w:instrText>
      </w:r>
      <w:r>
        <w:fldChar w:fldCharType="separate"/>
      </w:r>
      <w:r>
        <w:rPr>
          <w:rStyle w:val="Hyperlink"/>
          <w:lang w:val="ru-RU" w:eastAsia="ru-RU" w:bidi="ru-RU"/>
          <w:w w:val="100"/>
          <w:spacing w:val="0"/>
          <w:position w:val="0"/>
        </w:rPr>
        <w:t xml:space="preserve"> </w:t>
      </w:r>
      <w:r>
        <w:rPr>
          <w:rStyle w:val="Hyperlink"/>
        </w:rPr>
        <w:t>пунктами 27(1)</w:t>
      </w:r>
      <w:r>
        <w:rPr>
          <w:rStyle w:val="Hyperlink"/>
          <w:lang w:val="ru-RU" w:eastAsia="ru-RU" w:bidi="ru-RU"/>
          <w:w w:val="100"/>
          <w:spacing w:val="0"/>
          <w:position w:val="0"/>
        </w:rPr>
        <w:t xml:space="preserve"> </w:t>
      </w:r>
      <w:r>
        <w:fldChar w:fldCharType="end"/>
      </w:r>
      <w:r>
        <w:rPr>
          <w:lang w:val="ru-RU" w:eastAsia="ru-RU" w:bidi="ru-RU"/>
          <w:w w:val="100"/>
          <w:spacing w:val="0"/>
          <w:color w:val="000000"/>
          <w:position w:val="0"/>
        </w:rPr>
        <w:t>и</w:t>
      </w:r>
      <w:r>
        <w:fldChar w:fldCharType="begin"/>
      </w:r>
      <w:r>
        <w:rPr>
          <w:color w:val="000000"/>
        </w:rPr>
        <w:instrText> HYPERLINK "http://www.consultant.ru/document/cons_doc_LAW_155055/0a344653388e7c3943ab74278ec5c0715ead5d6f/%23dst40" </w:instrText>
      </w:r>
      <w:r>
        <w:fldChar w:fldCharType="separate"/>
      </w:r>
      <w:r>
        <w:rPr>
          <w:rStyle w:val="Hyperlink"/>
          <w:lang w:val="ru-RU" w:eastAsia="ru-RU" w:bidi="ru-RU"/>
          <w:w w:val="100"/>
          <w:spacing w:val="0"/>
          <w:position w:val="0"/>
        </w:rPr>
        <w:t xml:space="preserve"> </w:t>
      </w:r>
      <w:r>
        <w:rPr>
          <w:rStyle w:val="Hyperlink"/>
        </w:rPr>
        <w:t>27(4)</w:t>
      </w:r>
      <w:r>
        <w:rPr>
          <w:rStyle w:val="Hyperlink"/>
          <w:lang w:val="ru-RU" w:eastAsia="ru-RU" w:bidi="ru-RU"/>
          <w:w w:val="100"/>
          <w:spacing w:val="0"/>
          <w:position w:val="0"/>
        </w:rPr>
        <w:t xml:space="preserve"> </w:t>
      </w:r>
      <w:r>
        <w:fldChar w:fldCharType="end"/>
      </w:r>
      <w:r>
        <w:rPr>
          <w:lang w:val="ru-RU" w:eastAsia="ru-RU" w:bidi="ru-RU"/>
          <w:w w:val="100"/>
          <w:spacing w:val="0"/>
          <w:color w:val="000000"/>
          <w:position w:val="0"/>
        </w:rPr>
        <w:t>настоящих Правил):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35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а) квалификация трудовых ресурсов (руководителей и ключевых специалистов), предлагаемых для выполнения работ, оказания услуг;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35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б) опыт участника по успешной поставке товара, выполнению работ, оказанию услуг сопоставимого характера и объема;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35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в) обеспеченность участника закупки материально-техническими ресурсами в части наличия у участника закупки собственных или арендованных производственных мощностей, технологического оборудования, необходимых для выполнения работ, оказания услуг;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35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г) обеспеченность участника закупки трудовыми ресурсами;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35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д) деловая репутация участника закупки.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35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Пунктом 2.1 и 2.2 Критериев и порядка оценки заявок в конкурсной документации установлено, что сведения о наличии опыта участника подтверждаются копиями государственных контрактов (с актами выполненных работ), заключенных в соответствии с Федеральными законами № 44 - ФЗ, опубликованных на официальном сайте</w:t>
      </w:r>
      <w:r>
        <w:fldChar w:fldCharType="begin"/>
      </w:r>
      <w:r>
        <w:rPr>
          <w:color w:val="000000"/>
        </w:rPr>
        <w:instrText> HYPERLINK "http://www.zakupki.gov.ru/" </w:instrText>
      </w:r>
      <w:r>
        <w:fldChar w:fldCharType="separate"/>
      </w:r>
      <w:r>
        <w:rPr>
          <w:rStyle w:val="Hyperlink"/>
          <w:lang w:val="ru-RU" w:eastAsia="ru-RU" w:bidi="ru-RU"/>
          <w:w w:val="100"/>
          <w:spacing w:val="0"/>
          <w:position w:val="0"/>
        </w:rPr>
        <w:t xml:space="preserve"> </w:t>
      </w:r>
      <w:r>
        <w:rPr>
          <w:rStyle w:val="Hyperlink"/>
          <w:lang w:val="en-US" w:eastAsia="en-US" w:bidi="en-US"/>
        </w:rPr>
        <w:t>www.zakupki.gov.ru</w:t>
      </w:r>
      <w:r>
        <w:rPr>
          <w:rStyle w:val="Hyperlink"/>
          <w:lang w:val="en-US" w:eastAsia="en-US" w:bidi="en-US"/>
          <w:w w:val="100"/>
          <w:spacing w:val="0"/>
          <w:position w:val="0"/>
        </w:rPr>
        <w:t xml:space="preserve">, </w:t>
      </w:r>
      <w:r>
        <w:fldChar w:fldCharType="end"/>
      </w:r>
      <w:r>
        <w:rPr>
          <w:lang w:val="ru-RU" w:eastAsia="ru-RU" w:bidi="ru-RU"/>
          <w:w w:val="100"/>
          <w:spacing w:val="0"/>
          <w:color w:val="000000"/>
          <w:position w:val="0"/>
        </w:rPr>
        <w:t>содержащих сведения о стоимости выполненных работ.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35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Закон о контрактной системе предоставляет заказчикам право самостоятельно определять содержания критериев, а также документы, подтверждающие соответствие указанных критериев.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35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Доказательств того, что содержащееся в документации содержание рассматриваемого нестоимостного критерия ограничивает конкуренцию, нарушает права и законные интересы ООО «ИНТРА» Комиссии не представлено.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заказчиком правомерно установлен критерий «опыт успешного выполнения работ по производству протезов для государственных или муниципальных нужд» и документы, подтверждающее соответствие указанному критерию, а именно «подтверждение опыта копиями государственных контрактов, заключенных в соответствии с Федеральными законами № 44 - ФЗ».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Также в своей жалобе заявитель указывает, что конкурсная документация в части определения порядка и критериев оценки заявок на участие в конкурсе содержит при расчете такого нестоимостного критерия, как «квалификация участников закупки» фактически два нестоимостных показателя, что по сути является одним и тем же показателем, так как при его расчете используются данные по одним и тем же контрактам, но по разным величинным показателям.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Представителем заказчика в ходе заседания Комиссии были даны пояснения, касающиеся установления двух нестоимостных показателей оценки заявок на участие в конкурс, сформулированных однотипно, но с различным коэффициентом значимости критерия/показателя. Согласно позиции представителя заказчика, несмотря на то, что критерии названы одинаково, а по существу оценке подлежат совершенно разные показатели: в одном оценке подлежит количество предоставленных протезов верхних конечностей (п. 2.1 Порядок и критерии оценки заявок на участие в конкурсе), в другом суммарный объем выполненных работ (п. 2.2 Порядок и критерии оценки заявок на участие в конкурсе).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в действиях заказчика отсутствуют нарушения Закона о контрактной системе.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220" w:line="240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вышеизложенного и руководствуясь административным регламентом, утвержденным приказом ФАС России от 19.11.2014 г. № 727/14, частью 8 статьи 106 Закона о контрактной системе, Комиссия,</w:t>
      </w:r>
    </w:p>
    <w:p>
      <w:pPr>
        <w:pStyle w:val="Style3"/>
        <w:widowControl w:val="0"/>
        <w:keepNext/>
        <w:keepLines/>
        <w:shd w:val="clear" w:color="auto" w:fill="auto"/>
        <w:bidi w:val="0"/>
        <w:spacing w:before="0" w:after="97" w:line="190" w:lineRule="exact"/>
        <w:ind w:left="20" w:right="0" w:firstLine="0"/>
      </w:pPr>
      <w:bookmarkStart w:id="2" w:name="bookmark2"/>
      <w:r>
        <w:rPr>
          <w:lang w:val="ru-RU" w:eastAsia="ru-RU" w:bidi="ru-RU"/>
          <w:w w:val="100"/>
          <w:spacing w:val="0"/>
          <w:color w:val="000000"/>
          <w:position w:val="0"/>
        </w:rPr>
        <w:t>Р Е Ш И Л А:</w:t>
      </w:r>
      <w:bookmarkEnd w:id="2"/>
    </w:p>
    <w:p>
      <w:pPr>
        <w:pStyle w:val="Style8"/>
        <w:numPr>
          <w:ilvl w:val="0"/>
          <w:numId w:val="5"/>
        </w:numPr>
        <w:tabs>
          <w:tab w:leader="none" w:pos="138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Жалобу ООО «Интра» признать необоснованной.</w:t>
      </w:r>
    </w:p>
    <w:p>
      <w:pPr>
        <w:pStyle w:val="Style8"/>
        <w:numPr>
          <w:ilvl w:val="0"/>
          <w:numId w:val="5"/>
        </w:numPr>
        <w:tabs>
          <w:tab w:leader="none" w:pos="1388" w:val="left"/>
          <w:tab w:leader="none" w:pos="9635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действиях заказчика в лице Государственного</w:t>
        <w:tab/>
        <w:t>учреждения - Свердловское региональное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отделение Фонда социального страхования Российской Федерации, нарушений Закона о контактной системе не выявлено.</w:t>
      </w:r>
    </w:p>
    <w:p>
      <w:pPr>
        <w:pStyle w:val="Style8"/>
        <w:numPr>
          <w:ilvl w:val="0"/>
          <w:numId w:val="5"/>
        </w:numPr>
        <w:tabs>
          <w:tab w:leader="none" w:pos="1388" w:val="left"/>
          <w:tab w:leader="none" w:pos="9635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Заказчику, конкурсной комиссии предписание об</w:t>
        <w:tab/>
        <w:t>устранении нарушений законодательства о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контрактной системе не выдавать.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148" w:line="230" w:lineRule="exact"/>
        <w:ind w:left="20" w:right="4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0" w:line="1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*</w:t>
      </w:r>
    </w:p>
    <w:sectPr>
      <w:type w:val="continuous"/>
      <w:pgSz w:w="11906" w:h="16838"/>
      <w:pgMar w:top="1376" w:left="1126" w:right="1123" w:bottom="1146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9"/>
        <w:szCs w:val="19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9"/>
        <w:szCs w:val="19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9"/>
        <w:szCs w:val="19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Заголовок №1_"/>
    <w:basedOn w:val="DefaultParagraphFont"/>
    <w:link w:val="Style3"/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5">
    <w:name w:val="Заголовок №1"/>
    <w:basedOn w:val="CharStyle4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7">
    <w:name w:val="Основной текст (2)_"/>
    <w:basedOn w:val="DefaultParagraphFont"/>
    <w:link w:val="Style6"/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9">
    <w:name w:val="Основной текст_"/>
    <w:basedOn w:val="DefaultParagraphFont"/>
    <w:link w:val="Style8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11">
    <w:name w:val="Основной текст (3)_"/>
    <w:basedOn w:val="DefaultParagraphFont"/>
    <w:link w:val="Style10"/>
    <w:rPr>
      <w:b w:val="0"/>
      <w:bCs w:val="0"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</w:rPr>
  </w:style>
  <w:style w:type="character" w:customStyle="1" w:styleId="CharStyle13">
    <w:name w:val="Основной текст (4)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</w:rPr>
  </w:style>
  <w:style w:type="character" w:customStyle="1" w:styleId="CharStyle14">
    <w:name w:val="Основной текст"/>
    <w:basedOn w:val="CharStyle9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6">
    <w:name w:val="Основной текст (5)_"/>
    <w:basedOn w:val="DefaultParagraphFont"/>
    <w:link w:val="Style15"/>
    <w:rPr>
      <w:b w:val="0"/>
      <w:bCs w:val="0"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</w:rPr>
  </w:style>
  <w:style w:type="paragraph" w:customStyle="1" w:styleId="Style3">
    <w:name w:val="Заголовок №1"/>
    <w:basedOn w:val="Normal"/>
    <w:link w:val="CharStyle4"/>
    <w:pPr>
      <w:widowControl w:val="0"/>
      <w:shd w:val="clear" w:color="auto" w:fill="FFFFFF"/>
      <w:jc w:val="center"/>
      <w:outlineLvl w:val="0"/>
      <w:spacing w:before="240" w:line="230" w:lineRule="exact"/>
    </w:pPr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6">
    <w:name w:val="Основной текст (2)"/>
    <w:basedOn w:val="Normal"/>
    <w:link w:val="CharStyle7"/>
    <w:pPr>
      <w:widowControl w:val="0"/>
      <w:shd w:val="clear" w:color="auto" w:fill="FFFFFF"/>
      <w:jc w:val="center"/>
      <w:spacing w:line="250" w:lineRule="exact"/>
    </w:pPr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8">
    <w:name w:val="Основной текст"/>
    <w:basedOn w:val="Normal"/>
    <w:link w:val="CharStyle9"/>
    <w:pPr>
      <w:widowControl w:val="0"/>
      <w:shd w:val="clear" w:color="auto" w:fill="FFFFFF"/>
      <w:jc w:val="center"/>
      <w:spacing w:line="245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10">
    <w:name w:val="Основной текст (3)"/>
    <w:basedOn w:val="Normal"/>
    <w:link w:val="CharStyle11"/>
    <w:pPr>
      <w:widowControl w:val="0"/>
      <w:shd w:val="clear" w:color="auto" w:fill="FFFFFF"/>
      <w:jc w:val="center"/>
      <w:spacing w:after="360" w:line="0" w:lineRule="exact"/>
    </w:pPr>
    <w:rPr>
      <w:b w:val="0"/>
      <w:bCs w:val="0"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</w:rPr>
  </w:style>
  <w:style w:type="paragraph" w:customStyle="1" w:styleId="Style12">
    <w:name w:val="Основной текст (4)"/>
    <w:basedOn w:val="Normal"/>
    <w:link w:val="CharStyle13"/>
    <w:pPr>
      <w:widowControl w:val="0"/>
      <w:shd w:val="clear" w:color="auto" w:fill="FFFFFF"/>
      <w:jc w:val="center"/>
      <w:spacing w:before="60" w:line="0" w:lineRule="exact"/>
    </w:pPr>
    <w:rPr>
      <w:b w:val="0"/>
      <w:bCs w:val="0"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</w:rPr>
  </w:style>
  <w:style w:type="paragraph" w:customStyle="1" w:styleId="Style15">
    <w:name w:val="Основной текст (5)"/>
    <w:basedOn w:val="Normal"/>
    <w:link w:val="CharStyle16"/>
    <w:pPr>
      <w:widowControl w:val="0"/>
      <w:shd w:val="clear" w:color="auto" w:fill="FFFFFF"/>
      <w:jc w:val="both"/>
      <w:spacing w:before="60" w:line="0" w:lineRule="exact"/>
    </w:pPr>
    <w:rPr>
      <w:b w:val="0"/>
      <w:bCs w:val="0"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Жукова Анастасия Сергеевна</dc:creator>
  <cp:keywords/>
</cp:coreProperties>
</file>