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tabs>
          <w:tab w:leader="none" w:pos="1984" w:val="left"/>
        </w:tabs>
        <w:widowControl w:val="0"/>
        <w:keepNext w:val="0"/>
        <w:keepLines w:val="0"/>
        <w:shd w:val="clear" w:color="auto" w:fill="auto"/>
        <w:bidi w:val="0"/>
        <w:jc w:val="left"/>
        <w:spacing w:before="0" w:after="0"/>
        <w:ind w:left="0" w:right="0"/>
      </w:pPr>
      <w:r>
        <w:rPr>
          <w:rStyle w:val="CharStyle5"/>
          <w:i w:val="0"/>
          <w:iCs w:val="0"/>
        </w:rPr>
        <w:t xml:space="preserve">: г- </w:t>
      </w:r>
      <w:r>
        <w:rPr>
          <w:rStyle w:val="CharStyle6"/>
          <w:i/>
          <w:iCs/>
        </w:rPr>
        <w:t>Щ</w:t>
      </w:r>
      <w:r>
        <w:rPr>
          <w:rStyle w:val="CharStyle7"/>
          <w:i w:val="0"/>
          <w:iCs w:val="0"/>
        </w:rPr>
        <w:t xml:space="preserve"> № </w:t>
      </w:r>
      <w:r>
        <w:rPr>
          <w:rStyle w:val="CharStyle6"/>
          <w:i/>
          <w:iCs/>
        </w:rPr>
        <w:t>г*/с/££/■(Су -£</w:t>
      </w:r>
      <w:r>
        <w:rPr>
          <w:rStyle w:val="CharStyle8"/>
          <w:i/>
          <w:iCs/>
        </w:rPr>
        <w:t xml:space="preserve">'£ с/я </w:t>
      </w:r>
      <w:r>
        <w:rPr>
          <w:rStyle w:val="CharStyle9"/>
          <w:i w:val="0"/>
          <w:iCs w:val="0"/>
        </w:rPr>
        <w:t>На №</w:t>
        <w:tab/>
        <w:t>от</w:t>
      </w:r>
    </w:p>
    <w:p>
      <w:pPr>
        <w:pStyle w:val="Style10"/>
        <w:widowControl w:val="0"/>
        <w:keepNext/>
        <w:keepLines/>
        <w:shd w:val="clear" w:color="auto" w:fill="auto"/>
        <w:bidi w:val="0"/>
        <w:jc w:val="left"/>
        <w:spacing w:before="0" w:after="0"/>
        <w:ind w:left="20" w:right="1020" w:firstLine="0"/>
      </w:pPr>
      <w:bookmarkStart w:id="0" w:name="bookmark0"/>
      <w:r>
        <w:rPr>
          <w:lang w:val="ru-RU" w:eastAsia="ru-RU" w:bidi="ru-RU"/>
          <w:w w:val="100"/>
          <w:spacing w:val="0"/>
          <w:color w:val="000000"/>
          <w:position w:val="0"/>
        </w:rPr>
        <w:t>Дело № 010/06/105-660/2021 04-18/210-2021 Заказчик:</w:t>
      </w:r>
      <w:bookmarkEnd w:id="0"/>
    </w:p>
    <w:p>
      <w:pPr>
        <w:pStyle w:val="Style1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ГУ - РО Фонда социального страхования Российской Федерации по Республике Карелия</w:t>
      </w:r>
    </w:p>
    <w:p>
      <w:pPr>
        <w:pStyle w:val="Style14"/>
        <w:widowControl w:val="0"/>
        <w:keepNext w:val="0"/>
        <w:keepLines w:val="0"/>
        <w:shd w:val="clear" w:color="auto" w:fill="auto"/>
        <w:bidi w:val="0"/>
        <w:jc w:val="left"/>
        <w:spacing w:before="0" w:after="543"/>
        <w:ind w:left="20" w:right="0" w:firstLine="0"/>
      </w:pPr>
      <w:r>
        <w:rPr>
          <w:lang w:val="ru-RU" w:eastAsia="ru-RU" w:bidi="ru-RU"/>
          <w:w w:val="100"/>
          <w:spacing w:val="0"/>
          <w:color w:val="000000"/>
          <w:position w:val="0"/>
        </w:rPr>
        <w:t xml:space="preserve">ул. Красная, д. 49 г. Петрозаводск, 185035 </w:t>
      </w:r>
      <w:r>
        <w:fldChar w:fldCharType="begin"/>
      </w:r>
      <w:r>
        <w:rPr>
          <w:color w:val="000000"/>
        </w:rPr>
        <w:instrText> HYPERLINK "mailto:zakaz@rol0.fss.ru" </w:instrText>
      </w:r>
      <w:r>
        <w:fldChar w:fldCharType="separate"/>
      </w:r>
      <w:r>
        <w:rPr>
          <w:rStyle w:val="Hyperlink"/>
          <w:lang w:val="en-US" w:eastAsia="en-US" w:bidi="en-US"/>
          <w:w w:val="100"/>
          <w:spacing w:val="0"/>
          <w:position w:val="0"/>
        </w:rPr>
        <w:t>zakaz@rol0.fss.ru</w:t>
      </w:r>
      <w:r>
        <w:fldChar w:fldCharType="end"/>
      </w:r>
    </w:p>
    <w:p>
      <w:pPr>
        <w:pStyle w:val="Style10"/>
        <w:widowControl w:val="0"/>
        <w:keepNext/>
        <w:keepLines/>
        <w:shd w:val="clear" w:color="auto" w:fill="auto"/>
        <w:bidi w:val="0"/>
        <w:jc w:val="left"/>
        <w:spacing w:before="0" w:after="0" w:line="284" w:lineRule="exact"/>
        <w:ind w:left="20" w:right="0" w:firstLine="0"/>
      </w:pPr>
      <w:bookmarkStart w:id="1" w:name="bookmark1"/>
      <w:r>
        <w:rPr>
          <w:lang w:val="ru-RU" w:eastAsia="ru-RU" w:bidi="ru-RU"/>
          <w:w w:val="100"/>
          <w:spacing w:val="0"/>
          <w:color w:val="000000"/>
          <w:position w:val="0"/>
        </w:rPr>
        <w:t>Заявитель:</w:t>
      </w:r>
      <w:bookmarkEnd w:id="1"/>
    </w:p>
    <w:p>
      <w:pPr>
        <w:pStyle w:val="Style12"/>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ООО «ИНТРА»</w:t>
      </w:r>
    </w:p>
    <w:p>
      <w:pPr>
        <w:pStyle w:val="Style14"/>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ул. Ставровская, д. 4Б г. Владимир, 600022</w:t>
      </w:r>
    </w:p>
    <w:p>
      <w:pPr>
        <w:pStyle w:val="Style14"/>
        <w:widowControl w:val="0"/>
        <w:keepNext w:val="0"/>
        <w:keepLines w:val="0"/>
        <w:shd w:val="clear" w:color="auto" w:fill="auto"/>
        <w:bidi w:val="0"/>
        <w:jc w:val="left"/>
        <w:spacing w:before="0" w:after="0" w:line="284" w:lineRule="exact"/>
        <w:ind w:left="20" w:right="0" w:firstLine="0"/>
        <w:sectPr>
          <w:footnotePr>
            <w:pos w:val="pageBottom"/>
            <w:numFmt w:val="decimal"/>
            <w:numRestart w:val="continuous"/>
          </w:footnotePr>
          <w:type w:val="continuous"/>
          <w:pgSz w:w="11906" w:h="16838"/>
          <w:pgMar w:top="1102" w:left="1386" w:right="1386" w:bottom="717" w:header="0" w:footer="3" w:gutter="0"/>
          <w:rtlGutter w:val="0"/>
          <w:cols w:num="2" w:space="918"/>
          <w:noEndnote/>
          <w:docGrid w:linePitch="360"/>
        </w:sectPr>
      </w:pPr>
      <w:r>
        <w:fldChar w:fldCharType="begin"/>
      </w:r>
      <w:r>
        <w:rPr>
          <w:color w:val="000000"/>
        </w:rPr>
        <w:instrText> HYPERLINK "mailto:i.i.novikov@intra.ltd" </w:instrText>
      </w:r>
      <w:r>
        <w:fldChar w:fldCharType="separate"/>
      </w:r>
      <w:r>
        <w:rPr>
          <w:rStyle w:val="Hyperlink"/>
          <w:lang w:val="en-US" w:eastAsia="en-US" w:bidi="en-US"/>
          <w:w w:val="100"/>
          <w:spacing w:val="0"/>
          <w:position w:val="0"/>
        </w:rPr>
        <w:t>i.i.novikov@intra.ltd</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3" w:after="8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keepLines/>
        <w:shd w:val="clear" w:color="auto" w:fill="auto"/>
        <w:bidi w:val="0"/>
        <w:jc w:val="center"/>
        <w:spacing w:before="0" w:after="286" w:line="288" w:lineRule="exact"/>
        <w:ind w:left="0" w:right="0" w:firstLine="0"/>
      </w:pPr>
      <w:bookmarkStart w:id="2" w:name="bookmark2"/>
      <w:r>
        <w:rPr>
          <w:lang w:val="ru-RU" w:eastAsia="ru-RU" w:bidi="ru-RU"/>
          <w:w w:val="100"/>
          <w:spacing w:val="0"/>
          <w:color w:val="000000"/>
          <w:position w:val="0"/>
        </w:rPr>
        <w:t>РЕШЕНИЕ по делу № 010/06/105-660/2021</w:t>
      </w:r>
      <w:bookmarkEnd w:id="2"/>
    </w:p>
    <w:p>
      <w:pPr>
        <w:pStyle w:val="Style14"/>
        <w:widowControl w:val="0"/>
        <w:keepNext w:val="0"/>
        <w:keepLines w:val="0"/>
        <w:shd w:val="clear" w:color="auto" w:fill="auto"/>
        <w:bidi w:val="0"/>
        <w:jc w:val="right"/>
        <w:spacing w:before="0" w:after="0" w:line="230" w:lineRule="exact"/>
        <w:ind w:left="0" w:right="280" w:firstLine="0"/>
      </w:pPr>
      <w:r>
        <w:rPr>
          <w:lang w:val="ru-RU" w:eastAsia="ru-RU" w:bidi="ru-RU"/>
          <w:w w:val="100"/>
          <w:spacing w:val="0"/>
          <w:color w:val="000000"/>
          <w:position w:val="0"/>
        </w:rPr>
        <w:t>г. Петрозаводск</w:t>
      </w:r>
    </w:p>
    <w:p>
      <w:pPr>
        <w:pStyle w:val="Style14"/>
        <w:widowControl w:val="0"/>
        <w:keepNext w:val="0"/>
        <w:keepLines w:val="0"/>
        <w:shd w:val="clear" w:color="auto" w:fill="auto"/>
        <w:bidi w:val="0"/>
        <w:jc w:val="left"/>
        <w:spacing w:before="0" w:after="243"/>
        <w:ind w:left="20" w:right="3240" w:firstLine="0"/>
      </w:pPr>
      <w:r>
        <w:rPr>
          <w:lang w:val="ru-RU" w:eastAsia="ru-RU" w:bidi="ru-RU"/>
          <w:w w:val="100"/>
          <w:spacing w:val="0"/>
          <w:color w:val="000000"/>
          <w:position w:val="0"/>
        </w:rPr>
        <w:t>Резолютивная часть решения объявлена «26» октября 2021 года Решение в полном объеме изготовлено «29» октября 2021 года</w:t>
      </w:r>
    </w:p>
    <w:p>
      <w:pPr>
        <w:pStyle w:val="Style14"/>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14"/>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 ФАС России;</w:t>
      </w:r>
    </w:p>
    <w:p>
      <w:pPr>
        <w:pStyle w:val="Style14"/>
        <w:widowControl w:val="0"/>
        <w:keepNext w:val="0"/>
        <w:keepLines w:val="0"/>
        <w:shd w:val="clear" w:color="auto" w:fill="auto"/>
        <w:bidi w:val="0"/>
        <w:jc w:val="both"/>
        <w:spacing w:before="0" w:after="0" w:line="281" w:lineRule="exact"/>
        <w:ind w:left="20" w:right="20" w:firstLine="560"/>
      </w:pPr>
      <w:r>
        <w:rPr>
          <w:lang w:val="ru-RU" w:eastAsia="ru-RU" w:bidi="ru-RU"/>
          <w:w w:val="100"/>
          <w:spacing w:val="0"/>
          <w:color w:val="000000"/>
          <w:position w:val="0"/>
        </w:rPr>
        <w:t>Лайдинен О.В. - член Комиссии, ведущий специалист-эксперт отдела контроля органов власти и закупок Карельского У ФАС России;</w:t>
      </w:r>
    </w:p>
    <w:p>
      <w:pPr>
        <w:pStyle w:val="Style14"/>
        <w:widowControl w:val="0"/>
        <w:keepNext w:val="0"/>
        <w:keepLines w:val="0"/>
        <w:shd w:val="clear" w:color="auto" w:fill="auto"/>
        <w:bidi w:val="0"/>
        <w:jc w:val="both"/>
        <w:spacing w:before="0" w:after="237" w:line="281" w:lineRule="exact"/>
        <w:ind w:left="20" w:right="20" w:firstLine="560"/>
      </w:pPr>
      <w:r>
        <w:rPr>
          <w:lang w:val="ru-RU" w:eastAsia="ru-RU" w:bidi="ru-RU"/>
          <w:w w:val="100"/>
          <w:spacing w:val="0"/>
          <w:color w:val="000000"/>
          <w:position w:val="0"/>
        </w:rPr>
        <w:t>Аристархова А.В. - член Комиссии, старший государственный инспектор отдела контроля органов власти и закупок Карельского У ФАС России;</w:t>
      </w:r>
    </w:p>
    <w:p>
      <w:pPr>
        <w:pStyle w:val="Style14"/>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при участии в режиме видеоконференцсвязи представителей Заказчика - ГУ - РО Фонда социального страхования Российской Федерации по Республике Карелия Клименко В.А., Кильцовой Г.И., Пироговой Н.Н. (копии доверенностей в материалах дела) в режиме видеоконференцсвязи;</w:t>
      </w:r>
    </w:p>
    <w:p>
      <w:pPr>
        <w:pStyle w:val="Style14"/>
        <w:widowControl w:val="0"/>
        <w:keepNext w:val="0"/>
        <w:keepLines w:val="0"/>
        <w:shd w:val="clear" w:color="auto" w:fill="auto"/>
        <w:bidi w:val="0"/>
        <w:jc w:val="both"/>
        <w:spacing w:before="0" w:after="243"/>
        <w:ind w:left="20" w:right="20" w:firstLine="560"/>
      </w:pPr>
      <w:r>
        <w:rPr>
          <w:lang w:val="ru-RU" w:eastAsia="ru-RU" w:bidi="ru-RU"/>
          <w:w w:val="100"/>
          <w:spacing w:val="0"/>
          <w:color w:val="000000"/>
          <w:position w:val="0"/>
        </w:rPr>
        <w:t>без участия представителя Заявителя - ООО «ИНТРА» (уведомлен надлежащим образом, участие своего представителя в режиме видеоконференцсвязи не обеспечил);</w:t>
      </w:r>
    </w:p>
    <w:p>
      <w:pPr>
        <w:pStyle w:val="Style14"/>
        <w:widowControl w:val="0"/>
        <w:keepNext w:val="0"/>
        <w:keepLines w:val="0"/>
        <w:shd w:val="clear" w:color="auto" w:fill="auto"/>
        <w:bidi w:val="0"/>
        <w:jc w:val="both"/>
        <w:spacing w:before="0" w:after="284" w:line="284" w:lineRule="exact"/>
        <w:ind w:left="20" w:right="20" w:firstLine="560"/>
      </w:pPr>
      <w:r>
        <w:rPr>
          <w:lang w:val="ru-RU" w:eastAsia="ru-RU" w:bidi="ru-RU"/>
          <w:w w:val="100"/>
          <w:spacing w:val="0"/>
          <w:color w:val="000000"/>
          <w:position w:val="0"/>
        </w:rPr>
        <w:t>рассмотрев жалобу ООО «ИНТРА» на действия Заказчика - ГУ - РО Фонда социального страхования Российской Федерации по Республике Карелия при проведении открытого конкурса в электронной форме на выполнение работ, требующих стационарных условий, по обеспечению инвалидов и отдельных категорий граждан из числа ветеранов протезами нижних конечностей (извещение № 0206100000321000113)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 (Зарегистрировано в Минюсте России 27.02.2015 № 36262),</w:t>
      </w:r>
    </w:p>
    <w:p>
      <w:pPr>
        <w:pStyle w:val="Style12"/>
        <w:widowControl w:val="0"/>
        <w:keepNext w:val="0"/>
        <w:keepLines w:val="0"/>
        <w:shd w:val="clear" w:color="auto" w:fill="auto"/>
        <w:bidi w:val="0"/>
        <w:jc w:val="center"/>
        <w:spacing w:before="0" w:after="278" w:line="230" w:lineRule="exact"/>
        <w:ind w:left="0" w:right="0" w:firstLine="0"/>
      </w:pPr>
      <w:bookmarkStart w:id="3" w:name="bookmark3"/>
      <w:r>
        <w:rPr>
          <w:lang w:val="ru-RU" w:eastAsia="ru-RU" w:bidi="ru-RU"/>
          <w:w w:val="100"/>
          <w:spacing w:val="0"/>
          <w:color w:val="000000"/>
          <w:position w:val="0"/>
        </w:rPr>
        <w:t>УСТАНОВИЛА:</w:t>
      </w:r>
      <w:bookmarkEnd w:id="3"/>
    </w:p>
    <w:p>
      <w:pPr>
        <w:pStyle w:val="Style14"/>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Заявитель в своей жалобе утверждает, что Заказчик установил необоснованное ограничение оценки заявки участника по нестоимостному критерию </w:t>
      </w:r>
      <w:r>
        <w:rPr>
          <w:rStyle w:val="CharStyle16"/>
        </w:rPr>
        <w:t>Квалификация участника закупки,</w:t>
      </w:r>
      <w:r>
        <w:rPr>
          <w:lang w:val="ru-RU" w:eastAsia="ru-RU" w:bidi="ru-RU"/>
          <w:w w:val="100"/>
          <w:spacing w:val="0"/>
          <w:color w:val="000000"/>
          <w:position w:val="0"/>
        </w:rPr>
        <w:t xml:space="preserve"> принимая во внимание только </w:t>
      </w:r>
      <w:r>
        <w:rPr>
          <w:rStyle w:val="CharStyle17"/>
        </w:rPr>
        <w:t>опыт работы, подтвержденный</w:t>
      </w:r>
      <w:r>
        <w:rPr>
          <w:lang w:val="ru-RU" w:eastAsia="ru-RU" w:bidi="ru-RU"/>
          <w:w w:val="100"/>
          <w:spacing w:val="0"/>
          <w:color w:val="000000"/>
          <w:position w:val="0"/>
        </w:rPr>
        <w:t xml:space="preserve"> </w:t>
      </w:r>
      <w:r>
        <w:rPr>
          <w:rStyle w:val="CharStyle17"/>
        </w:rPr>
        <w:t>государственными контрактами</w:t>
      </w:r>
      <w:r>
        <w:rPr>
          <w:lang w:val="ru-RU" w:eastAsia="ru-RU" w:bidi="ru-RU"/>
          <w:w w:val="100"/>
          <w:spacing w:val="0"/>
          <w:color w:val="000000"/>
          <w:position w:val="0"/>
        </w:rPr>
        <w:t>, и тем самым ставя в преимущественное положение тех участников, которые имеют опыт выполнения работ для государственных нужд. По мнению Заявителя, квалификация участника закупки, имеющего опыт успешного выполнения работ по производству протезов не для государственных или муниципальных нужд, будет необоснованно оценена конкурсной комиссией в 0 баллов, что не позволит выявить лицо, предлагающее лучшие условия исполнения контракта.</w:t>
      </w:r>
    </w:p>
    <w:p>
      <w:pPr>
        <w:pStyle w:val="Style14"/>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Заявитель полагает, что указанные обстоятельства влекут нарушение норм Закона.</w:t>
      </w:r>
    </w:p>
    <w:p>
      <w:pPr>
        <w:pStyle w:val="Style14"/>
        <w:widowControl w:val="0"/>
        <w:keepNext w:val="0"/>
        <w:keepLines w:val="0"/>
        <w:shd w:val="clear" w:color="auto" w:fill="auto"/>
        <w:bidi w:val="0"/>
        <w:jc w:val="both"/>
        <w:spacing w:before="0" w:after="231"/>
        <w:ind w:left="20" w:right="20" w:firstLine="560"/>
      </w:pPr>
      <w:r>
        <w:rPr>
          <w:lang w:val="ru-RU" w:eastAsia="ru-RU" w:bidi="ru-RU"/>
          <w:w w:val="100"/>
          <w:spacing w:val="0"/>
          <w:color w:val="000000"/>
          <w:position w:val="0"/>
        </w:rPr>
        <w:t>Заказчик не согласился с доводами жалобы, представил в материалы дела письменные возражения (вх. № 5051 от 25.10.2021), просит признать жалобу необоснованной.</w:t>
      </w:r>
    </w:p>
    <w:p>
      <w:pPr>
        <w:pStyle w:val="Style14"/>
        <w:widowControl w:val="0"/>
        <w:keepNext w:val="0"/>
        <w:keepLines w:val="0"/>
        <w:shd w:val="clear" w:color="auto" w:fill="auto"/>
        <w:bidi w:val="0"/>
        <w:jc w:val="both"/>
        <w:spacing w:before="0" w:after="0" w:line="299" w:lineRule="exact"/>
        <w:ind w:left="20" w:right="20" w:firstLine="560"/>
      </w:pPr>
      <w:r>
        <w:rPr>
          <w:lang w:val="ru-RU" w:eastAsia="ru-RU" w:bidi="ru-RU"/>
          <w:w w:val="100"/>
          <w:spacing w:val="0"/>
          <w:color w:val="000000"/>
          <w:position w:val="0"/>
        </w:rPr>
        <w:t>Конкурсная документация утверждена заместителем управляющего Государственным учреждением - региональным отделением Фонда социального страхования Российской Федерации по Республике Карелия Т.Н. Богдановой от</w:t>
      </w:r>
    </w:p>
    <w:p>
      <w:pPr>
        <w:pStyle w:val="Style14"/>
        <w:numPr>
          <w:ilvl w:val="0"/>
          <w:numId w:val="1"/>
        </w:numPr>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 xml:space="preserve"> и размещена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28.09.2021.</w:t>
      </w:r>
    </w:p>
    <w:p>
      <w:pPr>
        <w:pStyle w:val="Style14"/>
        <w:widowControl w:val="0"/>
        <w:keepNext w:val="0"/>
        <w:keepLines w:val="0"/>
        <w:shd w:val="clear" w:color="auto" w:fill="auto"/>
        <w:bidi w:val="0"/>
        <w:jc w:val="both"/>
        <w:spacing w:before="0" w:after="0" w:line="299" w:lineRule="exact"/>
        <w:ind w:left="20" w:right="0" w:firstLine="560"/>
      </w:pPr>
      <w:r>
        <w:rPr>
          <w:lang w:val="ru-RU" w:eastAsia="ru-RU" w:bidi="ru-RU"/>
          <w:w w:val="100"/>
          <w:spacing w:val="0"/>
          <w:color w:val="000000"/>
          <w:position w:val="0"/>
        </w:rPr>
        <w:t>Номер извещения: 0206100000321000113.</w:t>
      </w:r>
    </w:p>
    <w:p>
      <w:pPr>
        <w:pStyle w:val="Style14"/>
        <w:widowControl w:val="0"/>
        <w:keepNext w:val="0"/>
        <w:keepLines w:val="0"/>
        <w:shd w:val="clear" w:color="auto" w:fill="auto"/>
        <w:bidi w:val="0"/>
        <w:jc w:val="both"/>
        <w:spacing w:before="0" w:after="0" w:line="299" w:lineRule="exact"/>
        <w:ind w:left="20" w:right="20" w:firstLine="560"/>
      </w:pPr>
      <w:r>
        <w:rPr>
          <w:lang w:val="ru-RU" w:eastAsia="ru-RU" w:bidi="ru-RU"/>
          <w:w w:val="100"/>
          <w:spacing w:val="0"/>
          <w:color w:val="000000"/>
          <w:position w:val="0"/>
        </w:rPr>
        <w:t>Наименование объекта закупки: выполнение работ, требующих стационарных условий, по обеспечению инвалидов и отдельных категорий граждан из числа ветеранов протезами нижних конечностей.</w:t>
      </w:r>
    </w:p>
    <w:p>
      <w:pPr>
        <w:pStyle w:val="Style14"/>
        <w:widowControl w:val="0"/>
        <w:keepNext w:val="0"/>
        <w:keepLines w:val="0"/>
        <w:shd w:val="clear" w:color="auto" w:fill="auto"/>
        <w:bidi w:val="0"/>
        <w:jc w:val="both"/>
        <w:spacing w:before="0" w:after="0" w:line="299" w:lineRule="exact"/>
        <w:ind w:left="20" w:right="0" w:firstLine="560"/>
      </w:pPr>
      <w:r>
        <w:rPr>
          <w:lang w:val="ru-RU" w:eastAsia="ru-RU" w:bidi="ru-RU"/>
          <w:w w:val="100"/>
          <w:spacing w:val="0"/>
          <w:color w:val="000000"/>
          <w:position w:val="0"/>
        </w:rPr>
        <w:t>Способ закупки: открытый конкурс в электронной форме.</w:t>
      </w:r>
    </w:p>
    <w:p>
      <w:pPr>
        <w:pStyle w:val="Style14"/>
        <w:tabs>
          <w:tab w:leader="none" w:pos="1923" w:val="left"/>
        </w:tabs>
        <w:widowControl w:val="0"/>
        <w:keepNext w:val="0"/>
        <w:keepLines w:val="0"/>
        <w:shd w:val="clear" w:color="auto" w:fill="auto"/>
        <w:bidi w:val="0"/>
        <w:jc w:val="both"/>
        <w:spacing w:before="0" w:after="0" w:line="299" w:lineRule="exact"/>
        <w:ind w:left="20" w:right="0" w:firstLine="560"/>
      </w:pPr>
      <w:r>
        <w:rPr>
          <w:lang w:val="ru-RU" w:eastAsia="ru-RU" w:bidi="ru-RU"/>
          <w:w w:val="100"/>
          <w:spacing w:val="0"/>
          <w:color w:val="000000"/>
          <w:position w:val="0"/>
        </w:rPr>
        <w:t>Заказчик:</w:t>
        <w:tab/>
        <w:t>Государственное учреждение - региональное отделение Фонда</w:t>
      </w:r>
    </w:p>
    <w:p>
      <w:pPr>
        <w:pStyle w:val="Style14"/>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социального страхования Российской Федерации по Республике Карелия (ГУ - РО ФСС РФ по РК).</w:t>
      </w:r>
    </w:p>
    <w:p>
      <w:pPr>
        <w:pStyle w:val="Style14"/>
        <w:widowControl w:val="0"/>
        <w:keepNext w:val="0"/>
        <w:keepLines w:val="0"/>
        <w:shd w:val="clear" w:color="auto" w:fill="auto"/>
        <w:bidi w:val="0"/>
        <w:jc w:val="both"/>
        <w:spacing w:before="0" w:after="0" w:line="299" w:lineRule="exact"/>
        <w:ind w:left="20" w:right="0" w:firstLine="560"/>
      </w:pPr>
      <w:r>
        <w:rPr>
          <w:lang w:val="ru-RU" w:eastAsia="ru-RU" w:bidi="ru-RU"/>
          <w:w w:val="100"/>
          <w:spacing w:val="0"/>
          <w:color w:val="000000"/>
          <w:position w:val="0"/>
        </w:rPr>
        <w:t>Начальная (максимальная) цена контракта: 1 510 333,34 рублей.</w:t>
      </w:r>
    </w:p>
    <w:p>
      <w:pPr>
        <w:pStyle w:val="Style14"/>
        <w:widowControl w:val="0"/>
        <w:keepNext w:val="0"/>
        <w:keepLines w:val="0"/>
        <w:shd w:val="clear" w:color="auto" w:fill="auto"/>
        <w:bidi w:val="0"/>
        <w:jc w:val="both"/>
        <w:spacing w:before="0" w:after="0" w:line="299" w:lineRule="exact"/>
        <w:ind w:left="20" w:right="20" w:firstLine="560"/>
      </w:pPr>
      <w:r>
        <w:rPr>
          <w:lang w:val="ru-RU" w:eastAsia="ru-RU" w:bidi="ru-RU"/>
          <w:w w:val="100"/>
          <w:spacing w:val="0"/>
          <w:color w:val="000000"/>
          <w:position w:val="0"/>
        </w:rPr>
        <w:t>Согласно протоколу рассмотрения и оценки первых частей заявок на участие в открытом конкурсе в электронной форме от 22.10.2021 №ПР011 на участие в конкурсе в электронной форме представлено 2 (две) заявки, под идентификационными номерами: 189, 99, обе допущены к участию.</w:t>
      </w:r>
    </w:p>
    <w:p>
      <w:pPr>
        <w:pStyle w:val="Style14"/>
        <w:widowControl w:val="0"/>
        <w:keepNext w:val="0"/>
        <w:keepLines w:val="0"/>
        <w:shd w:val="clear" w:color="auto" w:fill="auto"/>
        <w:bidi w:val="0"/>
        <w:jc w:val="both"/>
        <w:spacing w:before="0" w:after="0" w:line="299" w:lineRule="exact"/>
        <w:ind w:left="20" w:right="0" w:firstLine="560"/>
      </w:pPr>
      <w:r>
        <w:rPr>
          <w:lang w:val="ru-RU" w:eastAsia="ru-RU" w:bidi="ru-RU"/>
          <w:w w:val="100"/>
          <w:spacing w:val="0"/>
          <w:color w:val="000000"/>
          <w:position w:val="0"/>
        </w:rPr>
        <w:t>Согласно протоколу подведения итогов открытого конкурса в электронной форме от</w:t>
      </w:r>
    </w:p>
    <w:p>
      <w:pPr>
        <w:pStyle w:val="Style14"/>
        <w:numPr>
          <w:ilvl w:val="0"/>
          <w:numId w:val="3"/>
        </w:numPr>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 xml:space="preserve"> №ППИ1 допущенные к участию заявки признаны соответствующими документации об открытом конкурсе в электронной форме. На основании результатов оценки заявок на участие в открытом конкурсе в электронной форме конкурсная комиссия приняла решение о присвоении заявкам участников конкурса порядковых номеров: первый номер присвоен заявке ООО «Сколиолоджик.ру», второй - ООО «ИНТРА».</w:t>
      </w:r>
    </w:p>
    <w:p>
      <w:pPr>
        <w:pStyle w:val="Style14"/>
        <w:widowControl w:val="0"/>
        <w:keepNext w:val="0"/>
        <w:keepLines w:val="0"/>
        <w:shd w:val="clear" w:color="auto" w:fill="auto"/>
        <w:bidi w:val="0"/>
        <w:jc w:val="both"/>
        <w:spacing w:before="0" w:after="0" w:line="299" w:lineRule="exact"/>
        <w:ind w:left="20" w:right="20" w:firstLine="560"/>
      </w:pPr>
      <w:r>
        <w:rPr>
          <w:lang w:val="ru-RU" w:eastAsia="ru-RU" w:bidi="ru-RU"/>
          <w:w w:val="100"/>
          <w:spacing w:val="0"/>
          <w:color w:val="000000"/>
          <w:position w:val="0"/>
        </w:rPr>
        <w:t>Рассмотрение жалобы назначено на 14 часов 30 минут 26.10.2021 в режиме видеоконференцсвязи, состоялось в указанное время.</w:t>
      </w:r>
    </w:p>
    <w:p>
      <w:pPr>
        <w:pStyle w:val="Style14"/>
        <w:widowControl w:val="0"/>
        <w:keepNext w:val="0"/>
        <w:keepLines w:val="0"/>
        <w:shd w:val="clear" w:color="auto" w:fill="auto"/>
        <w:bidi w:val="0"/>
        <w:jc w:val="both"/>
        <w:spacing w:before="0" w:after="246" w:line="299" w:lineRule="exact"/>
        <w:ind w:left="20" w:right="40" w:firstLine="580"/>
      </w:pPr>
      <w:r>
        <w:rPr>
          <w:lang w:val="ru-RU" w:eastAsia="ru-RU" w:bidi="ru-RU"/>
          <w:w w:val="100"/>
          <w:spacing w:val="0"/>
          <w:color w:val="000000"/>
          <w:position w:val="0"/>
        </w:rPr>
        <w:t>На момент рассмотрения поступившей жалобы государственный контракт не заключен.</w:t>
      </w:r>
    </w:p>
    <w:p>
      <w:pPr>
        <w:pStyle w:val="Style10"/>
        <w:widowControl w:val="0"/>
        <w:keepNext/>
        <w:keepLines/>
        <w:shd w:val="clear" w:color="auto" w:fill="auto"/>
        <w:bidi w:val="0"/>
        <w:jc w:val="both"/>
        <w:spacing w:before="0" w:after="0"/>
        <w:ind w:left="20" w:right="40" w:firstLine="580"/>
      </w:pPr>
      <w:bookmarkStart w:id="4" w:name="bookmark4"/>
      <w:r>
        <w:rPr>
          <w:lang w:val="ru-RU" w:eastAsia="ru-RU" w:bidi="ru-RU"/>
          <w:w w:val="100"/>
          <w:spacing w:val="0"/>
          <w:color w:val="000000"/>
          <w:position w:val="0"/>
        </w:rPr>
        <w:t xml:space="preserve">Изучив представленные материалы, заслушав пояснения представителей Заказчика, Комиссия Карельского </w:t>
      </w:r>
      <w:r>
        <w:rPr>
          <w:rStyle w:val="CharStyle18"/>
          <w:b w:val="0"/>
          <w:bCs w:val="0"/>
        </w:rPr>
        <w:t xml:space="preserve">УФАС </w:t>
      </w:r>
      <w:r>
        <w:rPr>
          <w:lang w:val="ru-RU" w:eastAsia="ru-RU" w:bidi="ru-RU"/>
          <w:w w:val="100"/>
          <w:spacing w:val="0"/>
          <w:color w:val="000000"/>
          <w:position w:val="0"/>
        </w:rPr>
        <w:t>России пришла к следующим выводам:</w:t>
      </w:r>
      <w:bookmarkEnd w:id="4"/>
    </w:p>
    <w:p>
      <w:pPr>
        <w:pStyle w:val="Style14"/>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Согласно пункту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указанным Федеральным законом.</w:t>
      </w:r>
    </w:p>
    <w:p>
      <w:pPr>
        <w:pStyle w:val="Style14"/>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 xml:space="preserve">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w:t>
      </w:r>
      <w:r>
        <w:rPr>
          <w:rStyle w:val="CharStyle17"/>
        </w:rPr>
        <w:t>опыта работы,</w:t>
      </w:r>
      <w:r>
        <w:rPr>
          <w:lang w:val="ru-RU" w:eastAsia="ru-RU" w:bidi="ru-RU"/>
          <w:w w:val="100"/>
          <w:spacing w:val="0"/>
          <w:color w:val="000000"/>
          <w:position w:val="0"/>
        </w:rPr>
        <w:t xml:space="preserve"> </w:t>
      </w:r>
      <w:r>
        <w:rPr>
          <w:rStyle w:val="CharStyle17"/>
        </w:rPr>
        <w:t>связанного с предметом контракта</w:t>
      </w:r>
      <w:r>
        <w:rPr>
          <w:lang w:val="ru-RU" w:eastAsia="ru-RU" w:bidi="ru-RU"/>
          <w:w w:val="100"/>
          <w:spacing w:val="0"/>
          <w:color w:val="000000"/>
          <w:position w:val="0"/>
        </w:rPr>
        <w:t>, и деловой репутации, специалистов и иных работников определенного уровня квалификации.</w:t>
      </w:r>
    </w:p>
    <w:p>
      <w:pPr>
        <w:pStyle w:val="Style14"/>
        <w:tabs>
          <w:tab w:leader="none" w:pos="6363" w:val="left"/>
          <w:tab w:leader="none" w:pos="6284" w:val="left"/>
        </w:tabs>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Из части 8 статьи 32 Закона</w:t>
        <w:tab/>
        <w:t>следует,</w:t>
        <w:tab/>
        <w:t>что порядок оценки заявок,</w:t>
      </w:r>
    </w:p>
    <w:p>
      <w:pPr>
        <w:pStyle w:val="Style14"/>
        <w:widowControl w:val="0"/>
        <w:keepNext w:val="0"/>
        <w:keepLines w:val="0"/>
        <w:shd w:val="clear" w:color="auto" w:fill="auto"/>
        <w:bidi w:val="0"/>
        <w:jc w:val="both"/>
        <w:spacing w:before="0" w:after="0" w:line="284" w:lineRule="exact"/>
        <w:ind w:left="20" w:right="40" w:firstLine="0"/>
      </w:pPr>
      <w:r>
        <w:rPr>
          <w:lang w:val="ru-RU" w:eastAsia="ru-RU" w:bidi="ru-RU"/>
          <w:w w:val="100"/>
          <w:spacing w:val="0"/>
          <w:color w:val="000000"/>
          <w:position w:val="0"/>
        </w:rPr>
        <w:t>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w:t>
      </w:r>
    </w:p>
    <w:p>
      <w:pPr>
        <w:pStyle w:val="Style14"/>
        <w:tabs>
          <w:tab w:leader="none" w:pos="7836" w:val="left"/>
          <w:tab w:leader="none" w:pos="8350" w:val="left"/>
        </w:tabs>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Правила оценки заявок, окончательных предложений участников закупки товаров, работ, услуг для обеспечения государственных и муниципальных нужд утверждены постановлением Правительства РФ от 28.11.2013</w:t>
        <w:tab/>
        <w:t>№</w:t>
        <w:tab/>
        <w:t>1085 (далее -</w:t>
      </w:r>
    </w:p>
    <w:p>
      <w:pPr>
        <w:pStyle w:val="Style14"/>
        <w:widowControl w:val="0"/>
        <w:keepNext w:val="0"/>
        <w:keepLines w:val="0"/>
        <w:shd w:val="clear" w:color="auto" w:fill="auto"/>
        <w:bidi w:val="0"/>
        <w:jc w:val="both"/>
        <w:spacing w:before="0" w:after="0" w:line="284" w:lineRule="exact"/>
        <w:ind w:left="20" w:right="0" w:firstLine="0"/>
      </w:pPr>
      <w:r>
        <w:rPr>
          <w:lang w:val="ru-RU" w:eastAsia="ru-RU" w:bidi="ru-RU"/>
          <w:w w:val="100"/>
          <w:spacing w:val="0"/>
          <w:color w:val="000000"/>
          <w:position w:val="0"/>
        </w:rPr>
        <w:t>Правила № 1085).</w:t>
      </w:r>
    </w:p>
    <w:p>
      <w:pPr>
        <w:pStyle w:val="Style14"/>
        <w:tabs>
          <w:tab w:leader="none" w:pos="6247" w:val="right"/>
          <w:tab w:leader="none" w:pos="6410" w:val="left"/>
        </w:tabs>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Пунктом 3 Правил № 1085 определено, что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данных</w:t>
        <w:tab/>
        <w:t>Правил,</w:t>
        <w:tab/>
        <w:t>лучших условий исполнения</w:t>
      </w:r>
    </w:p>
    <w:p>
      <w:pPr>
        <w:pStyle w:val="Style14"/>
        <w:widowControl w:val="0"/>
        <w:keepNext w:val="0"/>
        <w:keepLines w:val="0"/>
        <w:shd w:val="clear" w:color="auto" w:fill="auto"/>
        <w:bidi w:val="0"/>
        <w:jc w:val="both"/>
        <w:spacing w:before="0" w:after="0" w:line="284" w:lineRule="exact"/>
        <w:ind w:left="20" w:right="40" w:firstLine="0"/>
      </w:pPr>
      <w:r>
        <w:rPr>
          <w:lang w:val="ru-RU" w:eastAsia="ru-RU" w:bidi="ru-RU"/>
          <w:w w:val="100"/>
          <w:spacing w:val="0"/>
          <w:color w:val="000000"/>
          <w:position w:val="0"/>
        </w:rPr>
        <w:t>контракта, указанных в заявках (предложениях) участников закупки, которые не были отклонены.</w:t>
      </w:r>
    </w:p>
    <w:p>
      <w:pPr>
        <w:pStyle w:val="Style14"/>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В силу пункта 4 Правил № 1085 для оценки заявок (предложений) заказчик устанавливает в документации о закупке стоимостные и нестоимостные критерии оценки.</w:t>
      </w:r>
    </w:p>
    <w:p>
      <w:pPr>
        <w:pStyle w:val="Style14"/>
        <w:tabs>
          <w:tab w:leader="none" w:pos="6247" w:val="right"/>
          <w:tab w:leader="none" w:pos="6399" w:val="left"/>
        </w:tabs>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w:t>
        <w:tab/>
        <w:t>оценки</w:t>
        <w:tab/>
        <w:t>закупаемых товаров, работ,</w:t>
      </w:r>
    </w:p>
    <w:p>
      <w:pPr>
        <w:pStyle w:val="Style14"/>
        <w:widowControl w:val="0"/>
        <w:keepNext w:val="0"/>
        <w:keepLines w:val="0"/>
        <w:shd w:val="clear" w:color="auto" w:fill="auto"/>
        <w:bidi w:val="0"/>
        <w:jc w:val="both"/>
        <w:spacing w:before="0" w:after="0" w:line="284" w:lineRule="exact"/>
        <w:ind w:left="20" w:right="0" w:firstLine="0"/>
      </w:pPr>
      <w:r>
        <w:rPr>
          <w:lang w:val="ru-RU" w:eastAsia="ru-RU" w:bidi="ru-RU"/>
          <w:w w:val="100"/>
          <w:spacing w:val="0"/>
          <w:color w:val="000000"/>
          <w:position w:val="0"/>
        </w:rPr>
        <w:t>услуг по нестоимостным критериям оценки (пункт 10 Правил № 1085).</w:t>
      </w:r>
    </w:p>
    <w:p>
      <w:pPr>
        <w:pStyle w:val="Style14"/>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 xml:space="preserve">Исходя из подпункта «б» пункта 27 Правил № 1085,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может быть </w:t>
      </w:r>
      <w:r>
        <w:rPr>
          <w:rStyle w:val="CharStyle17"/>
        </w:rPr>
        <w:t>опыт участника по успешной поставке</w:t>
      </w:r>
      <w:r>
        <w:rPr>
          <w:lang w:val="ru-RU" w:eastAsia="ru-RU" w:bidi="ru-RU"/>
          <w:w w:val="100"/>
          <w:spacing w:val="0"/>
          <w:color w:val="000000"/>
          <w:position w:val="0"/>
        </w:rPr>
        <w:t xml:space="preserve"> </w:t>
      </w:r>
      <w:r>
        <w:rPr>
          <w:rStyle w:val="CharStyle17"/>
        </w:rPr>
        <w:t>товара, выполнению работ, оказанию услуг сопоставимого характера и объема.</w:t>
      </w:r>
    </w:p>
    <w:p>
      <w:pPr>
        <w:pStyle w:val="Style14"/>
        <w:tabs>
          <w:tab w:leader="none" w:pos="6651" w:val="right"/>
          <w:tab w:leader="none" w:pos="8027" w:val="right"/>
          <w:tab w:leader="none" w:pos="8279" w:val="left"/>
        </w:tabs>
        <w:widowControl w:val="0"/>
        <w:keepNext w:val="0"/>
        <w:keepLines w:val="0"/>
        <w:shd w:val="clear" w:color="auto" w:fill="auto"/>
        <w:bidi w:val="0"/>
        <w:jc w:val="both"/>
        <w:spacing w:before="0" w:after="0" w:line="292" w:lineRule="exact"/>
        <w:ind w:left="20" w:right="0" w:firstLine="560"/>
      </w:pPr>
      <w:r>
        <w:rPr>
          <w:lang w:val="ru-RU" w:eastAsia="ru-RU" w:bidi="ru-RU"/>
          <w:w w:val="100"/>
          <w:spacing w:val="0"/>
          <w:color w:val="000000"/>
          <w:position w:val="0"/>
        </w:rPr>
        <w:t>Таким образом,</w:t>
        <w:tab/>
        <w:t>в конкурсную документацию</w:t>
        <w:tab/>
        <w:t>в качестве</w:t>
        <w:tab/>
        <w:t>нестоимостного</w:t>
      </w:r>
    </w:p>
    <w:p>
      <w:pPr>
        <w:pStyle w:val="Style14"/>
        <w:tabs>
          <w:tab w:leader="none" w:pos="6651" w:val="right"/>
          <w:tab w:leader="none" w:pos="8027" w:val="right"/>
          <w:tab w:leader="none" w:pos="8279" w:val="left"/>
          <w:tab w:leader="none" w:pos="10027" w:val="right"/>
        </w:tabs>
        <w:widowControl w:val="0"/>
        <w:keepNext w:val="0"/>
        <w:keepLines w:val="0"/>
        <w:shd w:val="clear" w:color="auto" w:fill="auto"/>
        <w:bidi w:val="0"/>
        <w:jc w:val="both"/>
        <w:spacing w:before="0" w:after="0" w:line="292" w:lineRule="exact"/>
        <w:ind w:left="20" w:right="60" w:firstLine="0"/>
      </w:pPr>
      <w:r>
        <w:rPr>
          <w:lang w:val="ru-RU" w:eastAsia="ru-RU" w:bidi="ru-RU"/>
          <w:w w:val="100"/>
          <w:spacing w:val="0"/>
          <w:color w:val="000000"/>
          <w:position w:val="0"/>
        </w:rPr>
        <w:t>критерия при установлении порядка рассмотрения и оценки заявок может быть включено условие</w:t>
        <w:tab/>
        <w:t>о наличии опыта работы,</w:t>
        <w:tab/>
        <w:t>связанного</w:t>
        <w:tab/>
        <w:t>с</w:t>
        <w:tab/>
        <w:t>предметом</w:t>
      </w:r>
    </w:p>
    <w:p>
      <w:pPr>
        <w:pStyle w:val="Style14"/>
        <w:widowControl w:val="0"/>
        <w:keepNext w:val="0"/>
        <w:keepLines w:val="0"/>
        <w:shd w:val="clear" w:color="auto" w:fill="auto"/>
        <w:bidi w:val="0"/>
        <w:jc w:val="both"/>
        <w:spacing w:before="0" w:after="0" w:line="292" w:lineRule="exact"/>
        <w:ind w:left="20" w:right="0" w:firstLine="0"/>
      </w:pPr>
      <w:r>
        <w:rPr>
          <w:lang w:val="ru-RU" w:eastAsia="ru-RU" w:bidi="ru-RU"/>
          <w:w w:val="100"/>
          <w:spacing w:val="0"/>
          <w:color w:val="000000"/>
          <w:position w:val="0"/>
        </w:rPr>
        <w:t>контракта.</w:t>
      </w:r>
    </w:p>
    <w:p>
      <w:pPr>
        <w:pStyle w:val="Style14"/>
        <w:tabs>
          <w:tab w:leader="none" w:pos="6651" w:val="right"/>
          <w:tab w:leader="none" w:pos="10027" w:val="right"/>
        </w:tabs>
        <w:widowControl w:val="0"/>
        <w:keepNext w:val="0"/>
        <w:keepLines w:val="0"/>
        <w:shd w:val="clear" w:color="auto" w:fill="auto"/>
        <w:bidi w:val="0"/>
        <w:jc w:val="both"/>
        <w:spacing w:before="0" w:after="0" w:line="284" w:lineRule="exact"/>
        <w:ind w:left="20" w:right="0" w:firstLine="560"/>
      </w:pPr>
      <w:r>
        <w:rPr>
          <w:lang w:val="ru-RU" w:eastAsia="ru-RU" w:bidi="ru-RU"/>
          <w:w w:val="100"/>
          <w:spacing w:val="0"/>
          <w:color w:val="000000"/>
          <w:position w:val="0"/>
        </w:rPr>
        <w:t>В соответствии с</w:t>
        <w:tab/>
        <w:t>Приложением 1 к Разделу II Информационная карта</w:t>
        <w:tab/>
        <w:t>конкурсной</w:t>
      </w:r>
    </w:p>
    <w:p>
      <w:pPr>
        <w:pStyle w:val="Style14"/>
        <w:tabs>
          <w:tab w:leader="none" w:pos="6651" w:val="right"/>
          <w:tab w:leader="none" w:pos="7742" w:val="right"/>
        </w:tabs>
        <w:widowControl w:val="0"/>
        <w:keepNext w:val="0"/>
        <w:keepLines w:val="0"/>
        <w:shd w:val="clear" w:color="auto" w:fill="auto"/>
        <w:bidi w:val="0"/>
        <w:jc w:val="both"/>
        <w:spacing w:before="0" w:after="0" w:line="284" w:lineRule="exact"/>
        <w:ind w:left="20" w:right="0" w:firstLine="0"/>
      </w:pPr>
      <w:r>
        <w:rPr>
          <w:lang w:val="ru-RU" w:eastAsia="ru-RU" w:bidi="ru-RU"/>
          <w:w w:val="100"/>
          <w:spacing w:val="0"/>
          <w:color w:val="000000"/>
          <w:position w:val="0"/>
        </w:rPr>
        <w:t>документации заявки на</w:t>
        <w:tab/>
        <w:t>участие в нем оцениваются по двум</w:t>
        <w:tab/>
        <w:t>критериям:</w:t>
      </w:r>
    </w:p>
    <w:p>
      <w:pPr>
        <w:pStyle w:val="Style14"/>
        <w:widowControl w:val="0"/>
        <w:keepNext w:val="0"/>
        <w:keepLines w:val="0"/>
        <w:shd w:val="clear" w:color="auto" w:fill="auto"/>
        <w:bidi w:val="0"/>
        <w:jc w:val="both"/>
        <w:spacing w:before="0" w:after="0" w:line="284" w:lineRule="exact"/>
        <w:ind w:left="20" w:right="0" w:firstLine="560"/>
      </w:pPr>
      <w:r>
        <w:rPr>
          <w:lang w:val="ru-RU" w:eastAsia="ru-RU" w:bidi="ru-RU"/>
          <w:w w:val="100"/>
          <w:spacing w:val="0"/>
          <w:color w:val="000000"/>
          <w:position w:val="0"/>
        </w:rPr>
        <w:t>- стоимостному - «Цена контракта» (величина значимости критерия составляет 60%);</w:t>
      </w:r>
    </w:p>
    <w:p>
      <w:pPr>
        <w:pStyle w:val="Style19"/>
        <w:framePr w:w="10080" w:wrap="notBeside" w:vAnchor="text" w:hAnchor="text" w:xAlign="center" w:y="1"/>
        <w:widowControl w:val="0"/>
        <w:keepNext w:val="0"/>
        <w:keepLines w:val="0"/>
        <w:shd w:val="clear" w:color="auto" w:fill="auto"/>
        <w:bidi w:val="0"/>
        <w:jc w:val="left"/>
        <w:spacing w:before="0" w:after="0" w:line="230" w:lineRule="exact"/>
        <w:ind w:left="0" w:right="0" w:firstLine="0"/>
      </w:pPr>
      <w:r>
        <w:rPr>
          <w:rStyle w:val="CharStyle21"/>
        </w:rPr>
        <w:t>- нестоимостному (величина значимости критерия составляет 40%):</w:t>
      </w:r>
    </w:p>
    <w:tbl>
      <w:tblPr>
        <w:tblOverlap w:val="never"/>
        <w:tblLayout w:type="fixed"/>
        <w:jc w:val="center"/>
      </w:tblPr>
      <w:tblGrid>
        <w:gridCol w:w="576"/>
        <w:gridCol w:w="2833"/>
        <w:gridCol w:w="3262"/>
        <w:gridCol w:w="799"/>
        <w:gridCol w:w="1498"/>
        <w:gridCol w:w="1112"/>
      </w:tblGrid>
      <w:tr>
        <w:trPr>
          <w:trHeight w:val="2718" w:hRule="exact"/>
        </w:trPr>
        <w:tc>
          <w:tcPr>
            <w:shd w:val="clear" w:color="auto" w:fill="FFFFFF"/>
            <w:textDirection w:val="btLr"/>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Номер критерия</w:t>
            </w:r>
          </w:p>
        </w:tc>
        <w:tc>
          <w:tcPr>
            <w:shd w:val="clear" w:color="auto" w:fill="FFFFFF"/>
            <w:tcBorders>
              <w:left w:val="single" w:sz="4"/>
              <w:top w:val="single" w:sz="4"/>
            </w:tcBorders>
            <w:vAlign w:val="center"/>
          </w:tcPr>
          <w:p>
            <w:pPr>
              <w:pStyle w:val="Style14"/>
              <w:framePr w:w="10080" w:wrap="notBeside" w:vAnchor="text" w:hAnchor="text" w:xAlign="center" w:y="1"/>
              <w:widowControl w:val="0"/>
              <w:keepNext w:val="0"/>
              <w:keepLines w:val="0"/>
              <w:shd w:val="clear" w:color="auto" w:fill="auto"/>
              <w:bidi w:val="0"/>
              <w:jc w:val="center"/>
              <w:spacing w:before="0" w:after="0" w:line="313" w:lineRule="exact"/>
              <w:ind w:left="0" w:right="0" w:firstLine="0"/>
            </w:pPr>
            <w:r>
              <w:rPr>
                <w:rStyle w:val="CharStyle22"/>
              </w:rPr>
              <w:t>Критерии оценки заявок на участие в конкурсе</w:t>
            </w:r>
          </w:p>
        </w:tc>
        <w:tc>
          <w:tcPr>
            <w:shd w:val="clear" w:color="auto" w:fill="FFFFFF"/>
            <w:tcBorders>
              <w:left w:val="single" w:sz="4"/>
              <w:top w:val="single" w:sz="4"/>
            </w:tcBorders>
            <w:vAlign w:val="center"/>
          </w:tcPr>
          <w:p>
            <w:pPr>
              <w:pStyle w:val="Style14"/>
              <w:framePr w:w="10080" w:wrap="notBeside" w:vAnchor="text" w:hAnchor="text" w:xAlign="center" w:y="1"/>
              <w:widowControl w:val="0"/>
              <w:keepNext w:val="0"/>
              <w:keepLines w:val="0"/>
              <w:shd w:val="clear" w:color="auto" w:fill="auto"/>
              <w:bidi w:val="0"/>
              <w:jc w:val="center"/>
              <w:spacing w:before="0" w:after="0" w:line="313" w:lineRule="exact"/>
              <w:ind w:left="0" w:right="0" w:firstLine="0"/>
            </w:pPr>
            <w:r>
              <w:rPr>
                <w:rStyle w:val="CharStyle22"/>
              </w:rPr>
              <w:t>Показатель оценки заявок на участие в конкурсе</w:t>
            </w:r>
          </w:p>
        </w:tc>
        <w:tc>
          <w:tcPr>
            <w:shd w:val="clear" w:color="auto" w:fill="FFFFFF"/>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both"/>
              <w:spacing w:before="0" w:after="0" w:line="310" w:lineRule="exact"/>
              <w:ind w:left="0" w:right="0" w:firstLine="0"/>
            </w:pPr>
            <w:r>
              <w:rPr>
                <w:rStyle w:val="CharStyle22"/>
              </w:rPr>
              <w:t>Значи мость крите риев в</w:t>
            </w:r>
          </w:p>
          <w:p>
            <w:pPr>
              <w:pStyle w:val="Style14"/>
              <w:framePr w:w="10080"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22"/>
              </w:rPr>
              <w:t>(%)</w:t>
            </w:r>
          </w:p>
        </w:tc>
        <w:tc>
          <w:tcPr>
            <w:shd w:val="clear" w:color="auto" w:fill="FFFFFF"/>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center"/>
              <w:spacing w:before="0" w:after="0" w:line="310" w:lineRule="exact"/>
              <w:ind w:left="0" w:right="0" w:firstLine="0"/>
            </w:pPr>
            <w:r>
              <w:rPr>
                <w:rStyle w:val="CharStyle22"/>
              </w:rPr>
              <w:t>Коэффициен т значимости критерия/по казателя</w:t>
            </w:r>
          </w:p>
        </w:tc>
        <w:tc>
          <w:tcPr>
            <w:shd w:val="clear" w:color="auto" w:fill="FFFFFF"/>
            <w:tcBorders>
              <w:left w:val="single" w:sz="4"/>
              <w:righ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center"/>
              <w:spacing w:before="0" w:after="0" w:line="310" w:lineRule="exact"/>
              <w:ind w:left="0" w:right="0" w:firstLine="0"/>
            </w:pPr>
            <w:r>
              <w:rPr>
                <w:rStyle w:val="CharStyle22"/>
              </w:rPr>
              <w:t>Обознач ение рейтинг а по критери ю/ показате</w:t>
            </w:r>
          </w:p>
          <w:p>
            <w:pPr>
              <w:pStyle w:val="Style14"/>
              <w:framePr w:w="1008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3"/>
              </w:rPr>
              <w:t>ЛЮ</w:t>
            </w:r>
          </w:p>
        </w:tc>
      </w:tr>
      <w:tr>
        <w:trPr>
          <w:trHeight w:val="832" w:hRule="exact"/>
        </w:trPr>
        <w:tc>
          <w:tcPr>
            <w:shd w:val="clear" w:color="auto" w:fill="FFFFFF"/>
            <w:vMerge w:val="restart"/>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left"/>
              <w:spacing w:before="0" w:after="0" w:line="210" w:lineRule="exact"/>
              <w:ind w:left="220" w:right="0" w:firstLine="0"/>
            </w:pPr>
            <w:r>
              <w:rPr>
                <w:rStyle w:val="CharStyle22"/>
              </w:rPr>
              <w:t>2.</w:t>
            </w:r>
          </w:p>
        </w:tc>
        <w:tc>
          <w:tcPr>
            <w:shd w:val="clear" w:color="auto" w:fill="FFFFFF"/>
            <w:vMerge w:val="restart"/>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left"/>
              <w:spacing w:before="0" w:after="0" w:line="310" w:lineRule="exact"/>
              <w:ind w:left="120" w:right="0" w:firstLine="0"/>
            </w:pPr>
            <w:r>
              <w:rPr>
                <w:rStyle w:val="CharStyle22"/>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shd w:val="clear" w:color="auto" w:fill="FFFFFF"/>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left"/>
              <w:spacing w:before="0" w:after="0" w:line="313" w:lineRule="exact"/>
              <w:ind w:left="120" w:right="0" w:firstLine="0"/>
            </w:pPr>
            <w:r>
              <w:rPr>
                <w:rStyle w:val="CharStyle24"/>
              </w:rPr>
              <w:t>Квалификация участников закупки, в том числе</w:t>
            </w:r>
          </w:p>
        </w:tc>
        <w:tc>
          <w:tcPr>
            <w:shd w:val="clear" w:color="auto" w:fill="FFFFFF"/>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40</w:t>
            </w:r>
          </w:p>
        </w:tc>
        <w:tc>
          <w:tcPr>
            <w:shd w:val="clear" w:color="auto" w:fill="FFFFFF"/>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0,4</w:t>
            </w:r>
          </w:p>
        </w:tc>
        <w:tc>
          <w:tcPr>
            <w:shd w:val="clear" w:color="auto" w:fill="FFFFFF"/>
            <w:tcBorders>
              <w:left w:val="single" w:sz="4"/>
              <w:righ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lang w:val="en-US" w:eastAsia="en-US" w:bidi="en-US"/>
              </w:rPr>
              <w:t>Rb</w:t>
            </w:r>
          </w:p>
        </w:tc>
      </w:tr>
      <w:tr>
        <w:trPr>
          <w:trHeight w:val="2077" w:hRule="exact"/>
        </w:trPr>
        <w:tc>
          <w:tcPr>
            <w:shd w:val="clear" w:color="auto" w:fill="FFFFFF"/>
            <w:vMerge/>
            <w:tcBorders>
              <w:left w:val="single" w:sz="4"/>
            </w:tcBorders>
            <w:vAlign w:val="top"/>
          </w:tcPr>
          <w:p>
            <w:pPr>
              <w:framePr w:w="10080" w:wrap="notBeside" w:vAnchor="text" w:hAnchor="text" w:xAlign="center" w:y="1"/>
            </w:pPr>
          </w:p>
        </w:tc>
        <w:tc>
          <w:tcPr>
            <w:shd w:val="clear" w:color="auto" w:fill="FFFFFF"/>
            <w:vMerge/>
            <w:tcBorders>
              <w:left w:val="single" w:sz="4"/>
            </w:tcBorders>
            <w:vAlign w:val="top"/>
          </w:tcPr>
          <w:p>
            <w:pPr>
              <w:framePr w:w="10080" w:wrap="notBeside" w:vAnchor="text" w:hAnchor="text" w:xAlign="center" w:y="1"/>
            </w:pPr>
          </w:p>
        </w:tc>
        <w:tc>
          <w:tcPr>
            <w:shd w:val="clear" w:color="auto" w:fill="FFFFFF"/>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left"/>
              <w:spacing w:before="0" w:after="0" w:line="310" w:lineRule="exact"/>
              <w:ind w:left="120" w:right="0" w:firstLine="0"/>
            </w:pPr>
            <w:r>
              <w:rPr>
                <w:rStyle w:val="CharStyle24"/>
              </w:rPr>
              <w:t>2.1. «Опыт участника конкурса по успешному выполнению работ по изготовлению протезов нижних конечностей сопоставимого объема и характера»</w:t>
            </w:r>
          </w:p>
        </w:tc>
        <w:tc>
          <w:tcPr>
            <w:shd w:val="clear" w:color="auto" w:fill="FFFFFF"/>
            <w:vMerge w:val="restart"/>
            <w:tcBorders>
              <w:left w:val="single" w:sz="4"/>
              <w:top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4"/>
              <w:framePr w:w="1008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0,4</w:t>
            </w:r>
          </w:p>
        </w:tc>
        <w:tc>
          <w:tcPr>
            <w:shd w:val="clear" w:color="auto" w:fill="FFFFFF"/>
            <w:tcBorders>
              <w:left w:val="single" w:sz="4"/>
              <w:right w:val="single" w:sz="4"/>
              <w:top w:val="single" w:sz="4"/>
            </w:tcBorders>
            <w:vAlign w:val="center"/>
          </w:tcPr>
          <w:p>
            <w:pPr>
              <w:pStyle w:val="Style14"/>
              <w:framePr w:w="1008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Ы</w:t>
            </w:r>
          </w:p>
        </w:tc>
      </w:tr>
      <w:tr>
        <w:trPr>
          <w:trHeight w:val="2275" w:hRule="exact"/>
        </w:trPr>
        <w:tc>
          <w:tcPr>
            <w:shd w:val="clear" w:color="auto" w:fill="FFFFFF"/>
            <w:vMerge/>
            <w:tcBorders>
              <w:left w:val="single" w:sz="4"/>
            </w:tcBorders>
            <w:vAlign w:val="top"/>
          </w:tcPr>
          <w:p>
            <w:pPr>
              <w:framePr w:w="10080" w:wrap="notBeside" w:vAnchor="text" w:hAnchor="text" w:xAlign="center" w:y="1"/>
            </w:pPr>
          </w:p>
        </w:tc>
        <w:tc>
          <w:tcPr>
            <w:shd w:val="clear" w:color="auto" w:fill="FFFFFF"/>
            <w:vMerge/>
            <w:tcBorders>
              <w:left w:val="single" w:sz="4"/>
            </w:tcBorders>
            <w:vAlign w:val="top"/>
          </w:tcPr>
          <w:p>
            <w:pPr>
              <w:framePr w:w="10080" w:wrap="notBeside" w:vAnchor="text" w:hAnchor="text" w:xAlign="center" w:y="1"/>
            </w:pPr>
          </w:p>
        </w:tc>
        <w:tc>
          <w:tcPr>
            <w:shd w:val="clear" w:color="auto" w:fill="FFFFFF"/>
            <w:tcBorders>
              <w:left w:val="single" w:sz="4"/>
              <w:top w:val="single" w:sz="4"/>
            </w:tcBorders>
            <w:vAlign w:val="top"/>
          </w:tcPr>
          <w:p>
            <w:pPr>
              <w:pStyle w:val="Style14"/>
              <w:framePr w:w="10080" w:wrap="notBeside" w:vAnchor="text" w:hAnchor="text" w:xAlign="center" w:y="1"/>
              <w:widowControl w:val="0"/>
              <w:keepNext w:val="0"/>
              <w:keepLines w:val="0"/>
              <w:shd w:val="clear" w:color="auto" w:fill="auto"/>
              <w:bidi w:val="0"/>
              <w:jc w:val="left"/>
              <w:spacing w:before="0" w:after="0" w:line="310" w:lineRule="exact"/>
              <w:ind w:left="120" w:right="0" w:firstLine="0"/>
            </w:pPr>
            <w:r>
              <w:rPr>
                <w:rStyle w:val="CharStyle24"/>
              </w:rPr>
              <w:t>2.2. «Опыт участника конкурса по успешному выполнению работ по изготовлению протезов нижних конечностей сопоставимого объема и характера»</w:t>
            </w:r>
          </w:p>
        </w:tc>
        <w:tc>
          <w:tcPr>
            <w:shd w:val="clear" w:color="auto" w:fill="FFFFFF"/>
            <w:vMerge/>
            <w:tcBorders>
              <w:left w:val="single" w:sz="4"/>
            </w:tcBorders>
            <w:vAlign w:val="top"/>
          </w:tcPr>
          <w:p>
            <w:pPr>
              <w:framePr w:w="10080" w:wrap="notBeside" w:vAnchor="text" w:hAnchor="text" w:xAlign="center" w:y="1"/>
            </w:pPr>
          </w:p>
        </w:tc>
        <w:tc>
          <w:tcPr>
            <w:shd w:val="clear" w:color="auto" w:fill="FFFFFF"/>
            <w:tcBorders>
              <w:left w:val="single" w:sz="4"/>
              <w:top w:val="single" w:sz="4"/>
            </w:tcBorders>
            <w:vAlign w:val="center"/>
          </w:tcPr>
          <w:p>
            <w:pPr>
              <w:pStyle w:val="Style14"/>
              <w:framePr w:w="1008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0,6</w:t>
            </w:r>
          </w:p>
        </w:tc>
        <w:tc>
          <w:tcPr>
            <w:shd w:val="clear" w:color="auto" w:fill="FFFFFF"/>
            <w:tcBorders>
              <w:left w:val="single" w:sz="4"/>
              <w:right w:val="single" w:sz="4"/>
              <w:top w:val="single" w:sz="4"/>
            </w:tcBorders>
            <w:vAlign w:val="center"/>
          </w:tcPr>
          <w:p>
            <w:pPr>
              <w:pStyle w:val="Style14"/>
              <w:framePr w:w="1008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Ь2</w:t>
            </w:r>
          </w:p>
        </w:tc>
      </w:tr>
      <w:tr>
        <w:trPr>
          <w:trHeight w:val="533" w:hRule="exact"/>
        </w:trPr>
        <w:tc>
          <w:tcPr>
            <w:shd w:val="clear" w:color="auto" w:fill="FFFFFF"/>
            <w:gridSpan w:val="3"/>
            <w:tcBorders>
              <w:left w:val="single" w:sz="4"/>
              <w:top w:val="single" w:sz="4"/>
              <w:bottom w:val="single" w:sz="4"/>
            </w:tcBorders>
            <w:vAlign w:val="top"/>
          </w:tcPr>
          <w:p>
            <w:pPr>
              <w:pStyle w:val="Style14"/>
              <w:framePr w:w="1008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Совокупная значимость всех критериев в процентах</w:t>
            </w:r>
          </w:p>
        </w:tc>
        <w:tc>
          <w:tcPr>
            <w:shd w:val="clear" w:color="auto" w:fill="FFFFFF"/>
            <w:tcBorders>
              <w:left w:val="single" w:sz="4"/>
              <w:top w:val="single" w:sz="4"/>
              <w:bottom w:val="single" w:sz="4"/>
            </w:tcBorders>
            <w:vAlign w:val="center"/>
          </w:tcPr>
          <w:p>
            <w:pPr>
              <w:pStyle w:val="Style14"/>
              <w:framePr w:w="10080"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24"/>
              </w:rPr>
              <w:t>100</w:t>
            </w:r>
          </w:p>
        </w:tc>
        <w:tc>
          <w:tcPr>
            <w:shd w:val="clear" w:color="auto" w:fill="FFFFFF"/>
            <w:tcBorders>
              <w:left w:val="single" w:sz="4"/>
              <w:top w:val="single" w:sz="4"/>
              <w:bottom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080" w:wrap="notBeside" w:vAnchor="text" w:hAnchor="text" w:xAlign="center" w:y="1"/>
              <w:widowControl w:val="0"/>
              <w:rPr>
                <w:sz w:val="10"/>
                <w:szCs w:val="10"/>
              </w:rPr>
            </w:pPr>
          </w:p>
        </w:tc>
      </w:tr>
    </w:tbl>
    <w:p>
      <w:pPr>
        <w:widowControl w:val="0"/>
        <w:rPr>
          <w:sz w:val="2"/>
          <w:szCs w:val="2"/>
        </w:rPr>
      </w:pPr>
    </w:p>
    <w:p>
      <w:pPr>
        <w:pStyle w:val="Style14"/>
        <w:widowControl w:val="0"/>
        <w:keepNext w:val="0"/>
        <w:keepLines w:val="0"/>
        <w:shd w:val="clear" w:color="auto" w:fill="auto"/>
        <w:bidi w:val="0"/>
        <w:jc w:val="both"/>
        <w:spacing w:before="0" w:after="0"/>
        <w:ind w:left="20" w:right="60" w:firstLine="560"/>
      </w:pPr>
      <w:r>
        <w:rPr>
          <w:lang w:val="ru-RU" w:eastAsia="ru-RU" w:bidi="ru-RU"/>
          <w:w w:val="100"/>
          <w:spacing w:val="0"/>
          <w:color w:val="000000"/>
          <w:position w:val="0"/>
        </w:rPr>
        <w:t xml:space="preserve">Комиссия Карельского У ФАС России установила, что нестоимостной критерий оценки заявки участника </w:t>
      </w:r>
      <w:r>
        <w:rPr>
          <w:rStyle w:val="CharStyle16"/>
        </w:rPr>
        <w:t>Квалификация участников закупки</w:t>
      </w:r>
      <w:r>
        <w:rPr>
          <w:lang w:val="ru-RU" w:eastAsia="ru-RU" w:bidi="ru-RU"/>
          <w:w w:val="100"/>
          <w:spacing w:val="0"/>
          <w:color w:val="000000"/>
          <w:position w:val="0"/>
        </w:rPr>
        <w:t xml:space="preserve"> состоит из двух подкритериев:</w:t>
      </w:r>
    </w:p>
    <w:p>
      <w:pPr>
        <w:pStyle w:val="Style14"/>
        <w:numPr>
          <w:ilvl w:val="0"/>
          <w:numId w:val="5"/>
        </w:numPr>
        <w:tabs>
          <w:tab w:leader="none" w:pos="1096" w:val="left"/>
        </w:tabs>
        <w:widowControl w:val="0"/>
        <w:keepNext w:val="0"/>
        <w:keepLines w:val="0"/>
        <w:shd w:val="clear" w:color="auto" w:fill="auto"/>
        <w:bidi w:val="0"/>
        <w:jc w:val="both"/>
        <w:spacing w:before="0" w:after="0"/>
        <w:ind w:left="20" w:right="60" w:firstLine="560"/>
      </w:pPr>
      <w:r>
        <w:rPr>
          <w:lang w:val="ru-RU" w:eastAsia="ru-RU" w:bidi="ru-RU"/>
          <w:w w:val="100"/>
          <w:spacing w:val="0"/>
          <w:color w:val="000000"/>
          <w:position w:val="0"/>
        </w:rPr>
        <w:t>«Опыт участника конкурса по успешному выполнению работ по изготовлению протезов нижних конечностей сопоставимого характера и объема». По данному показателю оценивается:</w:t>
      </w:r>
    </w:p>
    <w:p>
      <w:pPr>
        <w:pStyle w:val="Style14"/>
        <w:widowControl w:val="0"/>
        <w:keepNext w:val="0"/>
        <w:keepLines w:val="0"/>
        <w:shd w:val="clear" w:color="auto" w:fill="auto"/>
        <w:bidi w:val="0"/>
        <w:jc w:val="both"/>
        <w:spacing w:before="0" w:after="0"/>
        <w:ind w:left="20" w:right="60" w:firstLine="560"/>
      </w:pPr>
      <w:r>
        <w:rPr>
          <w:lang w:val="ru-RU" w:eastAsia="ru-RU" w:bidi="ru-RU"/>
          <w:w w:val="100"/>
          <w:spacing w:val="0"/>
          <w:color w:val="000000"/>
          <w:position w:val="0"/>
        </w:rPr>
        <w:t xml:space="preserve">Наличие у участника закупки опыта по успешному выполнению работ по изготовлению протезов нижних конечностей сопоставимого характера и объема. Оценивается объем выполненных работ (а именно выполнение работ по изготовлению протезов нижних конечностей с целью обеспечения инвалидов и отдельных категорий граждан из числа ветеранов), </w:t>
      </w:r>
      <w:r>
        <w:rPr>
          <w:rStyle w:val="CharStyle17"/>
        </w:rPr>
        <w:t>исчисляемый в количестве предоставленных протезов</w:t>
      </w:r>
      <w:r>
        <w:rPr>
          <w:lang w:val="ru-RU" w:eastAsia="ru-RU" w:bidi="ru-RU"/>
          <w:w w:val="100"/>
          <w:spacing w:val="0"/>
          <w:color w:val="000000"/>
          <w:position w:val="0"/>
        </w:rPr>
        <w:t xml:space="preserve"> нижних конечностей получателям в рамках контрактов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 При этом количество предоставленных протезов нижних конечностей в каждом контракте должно быть не менее 3 шт.</w:t>
      </w:r>
    </w:p>
    <w:p>
      <w:pPr>
        <w:pStyle w:val="Style14"/>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 xml:space="preserve">Сведения о наличии опыта участника </w:t>
      </w:r>
      <w:r>
        <w:rPr>
          <w:rStyle w:val="CharStyle25"/>
        </w:rPr>
        <w:t xml:space="preserve">подтверждаются копиями государственных контрактов </w:t>
      </w:r>
      <w:r>
        <w:rPr>
          <w:lang w:val="ru-RU" w:eastAsia="ru-RU" w:bidi="ru-RU"/>
          <w:w w:val="100"/>
          <w:spacing w:val="0"/>
          <w:color w:val="000000"/>
          <w:position w:val="0"/>
        </w:rPr>
        <w:t xml:space="preserve">(с актами выполненных работ), заключенных в соответствии с Федеральным законом, </w:t>
      </w:r>
      <w:r>
        <w:rPr>
          <w:rStyle w:val="CharStyle17"/>
        </w:rPr>
        <w:t>опубликованных на официальном сайте</w:t>
      </w:r>
      <w:r>
        <w:rPr>
          <w:lang w:val="ru-RU" w:eastAsia="ru-RU" w:bidi="ru-RU"/>
          <w:w w:val="100"/>
          <w:spacing w:val="0"/>
          <w:color w:val="000000"/>
          <w:position w:val="0"/>
        </w:rPr>
        <w:t xml:space="preserve">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содержащих сведения об объеме выполненных работ.</w:t>
      </w:r>
    </w:p>
    <w:p>
      <w:pPr>
        <w:pStyle w:val="Style14"/>
        <w:widowControl w:val="0"/>
        <w:keepNext w:val="0"/>
        <w:keepLines w:val="0"/>
        <w:shd w:val="clear" w:color="auto" w:fill="auto"/>
        <w:bidi w:val="0"/>
        <w:jc w:val="both"/>
        <w:spacing w:before="0" w:after="0"/>
        <w:ind w:left="40" w:right="20" w:firstLine="580"/>
      </w:pPr>
      <w:r>
        <w:rPr>
          <w:rStyle w:val="CharStyle25"/>
        </w:rPr>
        <w:t xml:space="preserve">Непредоставление в составе заявки на участие в конкурсе таких документов не является основанием для отказа в допуске к участию в конкурсе, </w:t>
      </w:r>
      <w:r>
        <w:rPr>
          <w:lang w:val="ru-RU" w:eastAsia="ru-RU" w:bidi="ru-RU"/>
          <w:w w:val="100"/>
          <w:spacing w:val="0"/>
          <w:color w:val="000000"/>
          <w:position w:val="0"/>
        </w:rPr>
        <w:t>однако при оценке по настоящему показателю учитывается только те сведения, заявленные участниками закупки, которые подтверждены документально в составе заявки на участие в конкурсе.</w:t>
      </w:r>
    </w:p>
    <w:p>
      <w:pPr>
        <w:pStyle w:val="Style14"/>
        <w:widowControl w:val="0"/>
        <w:keepNext w:val="0"/>
        <w:keepLines w:val="0"/>
        <w:shd w:val="clear" w:color="auto" w:fill="auto"/>
        <w:bidi w:val="0"/>
        <w:jc w:val="both"/>
        <w:spacing w:before="0" w:after="0"/>
        <w:ind w:left="40" w:right="0" w:firstLine="580"/>
      </w:pPr>
      <w:r>
        <w:rPr>
          <w:lang w:val="ru-RU" w:eastAsia="ru-RU" w:bidi="ru-RU"/>
          <w:w w:val="100"/>
          <w:spacing w:val="0"/>
          <w:color w:val="000000"/>
          <w:position w:val="0"/>
        </w:rPr>
        <w:t>Предельное необходимое максимальное значение показателя - 15 (пятнадцать) шт.</w:t>
      </w:r>
    </w:p>
    <w:p>
      <w:pPr>
        <w:pStyle w:val="Style14"/>
        <w:numPr>
          <w:ilvl w:val="0"/>
          <w:numId w:val="5"/>
        </w:numPr>
        <w:tabs>
          <w:tab w:leader="none" w:pos="1116" w:val="left"/>
        </w:tabs>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«Опыт участника конкурса по успешному выполнению работ по изготовлению протезов нижних конечностей сопоставимого характера и объема». По данному показателю оценивается:</w:t>
      </w:r>
    </w:p>
    <w:p>
      <w:pPr>
        <w:pStyle w:val="Style14"/>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 xml:space="preserve">Наличие у участника закупки опыта по успешному выполнению работ сопоставимого характера и объема. Оценивается суммарный объем выполненных работ (а именно выполнение работ по изготовлению протезов нижних конечностей с целью обеспечения инвалидов и отдельных категорий граждан из числа ветеранов) </w:t>
      </w:r>
      <w:r>
        <w:rPr>
          <w:rStyle w:val="CharStyle17"/>
        </w:rPr>
        <w:t>исчисляемый в рублях</w:t>
      </w:r>
      <w:r>
        <w:rPr>
          <w:lang w:val="ru-RU" w:eastAsia="ru-RU" w:bidi="ru-RU"/>
          <w:w w:val="100"/>
          <w:spacing w:val="0"/>
          <w:color w:val="000000"/>
          <w:position w:val="0"/>
        </w:rPr>
        <w:t xml:space="preserve"> по контрактам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14"/>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При этом объем выполненных работ, исчисляемый в рублях, в каждом контракте должен быть не менее 1 510 333,34 руб.</w:t>
      </w:r>
    </w:p>
    <w:p>
      <w:pPr>
        <w:pStyle w:val="Style14"/>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 xml:space="preserve">Сведения о наличии опыта участника </w:t>
      </w:r>
      <w:r>
        <w:rPr>
          <w:rStyle w:val="CharStyle25"/>
        </w:rPr>
        <w:t xml:space="preserve">подтверждаются копиями государственных контрактов </w:t>
      </w:r>
      <w:r>
        <w:rPr>
          <w:lang w:val="ru-RU" w:eastAsia="ru-RU" w:bidi="ru-RU"/>
          <w:w w:val="100"/>
          <w:spacing w:val="0"/>
          <w:color w:val="000000"/>
          <w:position w:val="0"/>
        </w:rPr>
        <w:t xml:space="preserve">(с актами выполненных работ), заключенных в соответствии с Федеральным законом, опубликованных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содержащих сведения об объеме выполненных работ.</w:t>
      </w:r>
    </w:p>
    <w:p>
      <w:pPr>
        <w:pStyle w:val="Style14"/>
        <w:widowControl w:val="0"/>
        <w:keepNext w:val="0"/>
        <w:keepLines w:val="0"/>
        <w:shd w:val="clear" w:color="auto" w:fill="auto"/>
        <w:bidi w:val="0"/>
        <w:jc w:val="both"/>
        <w:spacing w:before="0" w:after="0"/>
        <w:ind w:left="40" w:right="20" w:firstLine="580"/>
      </w:pPr>
      <w:r>
        <w:rPr>
          <w:rStyle w:val="CharStyle25"/>
        </w:rPr>
        <w:t xml:space="preserve">Непредоставление в составе заявки на участие в конкурсе таких документов не является основанием для отказа в допуске к участию в конкурсе, </w:t>
      </w:r>
      <w:r>
        <w:rPr>
          <w:lang w:val="ru-RU" w:eastAsia="ru-RU" w:bidi="ru-RU"/>
          <w:w w:val="100"/>
          <w:spacing w:val="0"/>
          <w:color w:val="000000"/>
          <w:position w:val="0"/>
        </w:rPr>
        <w:t>однако при оценке по настоящему показателю учитывается только те сведения, заявленные участниками закупки, которые подтверждены документально в составе заявки на участие в конкурсе.</w:t>
      </w:r>
    </w:p>
    <w:p>
      <w:pPr>
        <w:pStyle w:val="Style14"/>
        <w:widowControl w:val="0"/>
        <w:keepNext w:val="0"/>
        <w:keepLines w:val="0"/>
        <w:shd w:val="clear" w:color="auto" w:fill="auto"/>
        <w:bidi w:val="0"/>
        <w:jc w:val="both"/>
        <w:spacing w:before="0" w:after="243"/>
        <w:ind w:left="40" w:right="20" w:firstLine="580"/>
      </w:pPr>
      <w:r>
        <w:rPr>
          <w:lang w:val="ru-RU" w:eastAsia="ru-RU" w:bidi="ru-RU"/>
          <w:w w:val="100"/>
          <w:spacing w:val="0"/>
          <w:color w:val="000000"/>
          <w:position w:val="0"/>
        </w:rPr>
        <w:t>Предельное необходимое максимальное значение показателя - 7 551 666, 70 руб. (семь миллионов пятьсот пятьдесят одна тысяча шестьсот шестьдесят шесть рублей 70 копеек).</w:t>
      </w:r>
    </w:p>
    <w:p>
      <w:pPr>
        <w:pStyle w:val="Style14"/>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Таким образом, Комиссия Карельского У ФАС России приходит к выводу о том, что участником закупки в качестве подтверждения «Опыта участника конкурса по успешному выполнению работ по изготовлению протезов нижних конечностей сопоставимого объема и характера» могут быть представлены:</w:t>
      </w:r>
    </w:p>
    <w:p>
      <w:pPr>
        <w:pStyle w:val="Style14"/>
        <w:numPr>
          <w:ilvl w:val="0"/>
          <w:numId w:val="7"/>
        </w:numPr>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 xml:space="preserve"> контракты за последние 3 года, по каждому из которых были поставлены протезы в количестве от 3 штук и более. При этом предельное максимальное количество поставленных протезов по всем контрактам при оценке заявок участников будет ограничиваться 15 штуками;</w:t>
      </w:r>
    </w:p>
    <w:p>
      <w:pPr>
        <w:pStyle w:val="Style14"/>
        <w:numPr>
          <w:ilvl w:val="0"/>
          <w:numId w:val="7"/>
        </w:numPr>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 xml:space="preserve"> контракты за последние 3 года, по каждому из которых были поставлены протезы на сумму от 1 510 333,34 рублей и более. При этом предельная максимальная сумма выполненных обязательств по всем контрактам при оценке заявок участников будет ограничиваться 7 551 666, 70 рублей.</w:t>
      </w:r>
    </w:p>
    <w:p>
      <w:pPr>
        <w:pStyle w:val="Style14"/>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 xml:space="preserve">Ввиду изложенного, </w:t>
      </w:r>
      <w:r>
        <w:rPr>
          <w:rStyle w:val="CharStyle25"/>
        </w:rPr>
        <w:t xml:space="preserve">указанный критерий и показатели (подкритерии) для его оценки соответствует требованиям </w:t>
      </w:r>
      <w:r>
        <w:rPr>
          <w:lang w:val="ru-RU" w:eastAsia="ru-RU" w:bidi="ru-RU"/>
          <w:w w:val="100"/>
          <w:spacing w:val="0"/>
          <w:color w:val="000000"/>
          <w:position w:val="0"/>
        </w:rPr>
        <w:t>Закона и Правил оценки заявок, окончательных предложений участников закупки товаров, работ, услуг для обеспечения государственных и</w:t>
      </w:r>
    </w:p>
    <w:p>
      <w:pPr>
        <w:pStyle w:val="Style14"/>
        <w:widowControl w:val="0"/>
        <w:keepNext w:val="0"/>
        <w:keepLines w:val="0"/>
        <w:shd w:val="clear" w:color="auto" w:fill="auto"/>
        <w:bidi w:val="0"/>
        <w:jc w:val="left"/>
        <w:spacing w:before="0" w:after="0" w:line="299" w:lineRule="exact"/>
        <w:ind w:left="20" w:right="300" w:firstLine="0"/>
      </w:pPr>
      <w:r>
        <w:rPr>
          <w:lang w:val="ru-RU" w:eastAsia="ru-RU" w:bidi="ru-RU"/>
          <w:w w:val="100"/>
          <w:spacing w:val="0"/>
          <w:color w:val="000000"/>
          <w:position w:val="0"/>
        </w:rPr>
        <w:t>муниципальных нужд, утвержденных постановлением Правительства Российской Федерации от 28.11.2013 № 1085. *</w:t>
      </w:r>
    </w:p>
    <w:p>
      <w:pPr>
        <w:pStyle w:val="Style14"/>
        <w:widowControl w:val="0"/>
        <w:keepNext w:val="0"/>
        <w:keepLines w:val="0"/>
        <w:shd w:val="clear" w:color="auto" w:fill="auto"/>
        <w:bidi w:val="0"/>
        <w:jc w:val="both"/>
        <w:spacing w:before="0" w:after="0" w:line="292" w:lineRule="exact"/>
        <w:ind w:left="20" w:right="300" w:firstLine="560"/>
      </w:pPr>
      <w:r>
        <w:rPr>
          <w:lang w:val="ru-RU" w:eastAsia="ru-RU" w:bidi="ru-RU"/>
          <w:w w:val="100"/>
          <w:spacing w:val="0"/>
          <w:color w:val="000000"/>
          <w:position w:val="0"/>
        </w:rPr>
        <w:t xml:space="preserve">Конкурсная документация не содержит такого основания для отказа претендентам в допуске к участию в проводимом конкурсе, как отсутствие опыта оказания услуг по предмету закупки. Отсутствие опыта работы и непредоставление в составе заявки на участие в конкурсе подтверждающих такой опыт документов (государственных контрактов) не является основанием для отстранения участника закупки от участия в определении поставщика. В рассматриваемом случае закупка проводится способом открытый конкурс в электронной форме, при котором победителем объявляется участник, предложивший лучшие условия исполнения контракта, что </w:t>
      </w:r>
      <w:r>
        <w:rPr>
          <w:rStyle w:val="CharStyle25"/>
        </w:rPr>
        <w:t xml:space="preserve">определяется на стадии оценки, а не при подаче заявок. </w:t>
      </w:r>
      <w:r>
        <w:rPr>
          <w:lang w:val="ru-RU" w:eastAsia="ru-RU" w:bidi="ru-RU"/>
          <w:w w:val="100"/>
          <w:spacing w:val="0"/>
          <w:color w:val="000000"/>
          <w:position w:val="0"/>
        </w:rPr>
        <w:t>Возможность проиграть в конкурсе, не набрав нужное количество баллов, не может расцениваться как ограничение доступа к хозяйственной деятельности, иное документально не доказано.</w:t>
      </w:r>
    </w:p>
    <w:p>
      <w:pPr>
        <w:pStyle w:val="Style14"/>
        <w:tabs>
          <w:tab w:leader="underscore" w:pos="10071" w:val="left"/>
        </w:tabs>
        <w:widowControl w:val="0"/>
        <w:keepNext w:val="0"/>
        <w:keepLines w:val="0"/>
        <w:shd w:val="clear" w:color="auto" w:fill="auto"/>
        <w:bidi w:val="0"/>
        <w:jc w:val="both"/>
        <w:spacing w:before="0" w:after="0" w:line="292" w:lineRule="exact"/>
        <w:ind w:left="20" w:right="300" w:firstLine="560"/>
      </w:pPr>
      <w:r>
        <w:rPr>
          <w:lang w:val="ru-RU" w:eastAsia="ru-RU" w:bidi="ru-RU"/>
          <w:w w:val="100"/>
          <w:spacing w:val="0"/>
          <w:color w:val="000000"/>
          <w:position w:val="0"/>
        </w:rPr>
        <w:t xml:space="preserve">Напротив, согласно протоколу подведения итогов открытого конкурса в электронной форме от 28.10.2021 №ППИ1 была проведена оценка двух заявок под номерами 189, 99 по стоимостному критерию «Цена контракта» и нестоимостному критерию «Квалификация участников закупки...», в результате которой участникам присвоены </w:t>
      </w:r>
      <w:r>
        <w:rPr>
          <w:rStyle w:val="CharStyle17"/>
        </w:rPr>
        <w:t>баллы по стоимостному и нестоимостному критериям:</w:t>
      </w:r>
      <w:r>
        <w:rPr>
          <w:lang w:val="ru-RU" w:eastAsia="ru-RU" w:bidi="ru-RU"/>
          <w:w w:val="100"/>
          <w:spacing w:val="0"/>
          <w:color w:val="000000"/>
          <w:position w:val="0"/>
        </w:rPr>
        <w:tab/>
      </w:r>
    </w:p>
    <w:tbl>
      <w:tblPr>
        <w:tblOverlap w:val="never"/>
        <w:tblLayout w:type="fixed"/>
        <w:jc w:val="center"/>
      </w:tblPr>
      <w:tblGrid>
        <w:gridCol w:w="2282"/>
        <w:gridCol w:w="2264"/>
        <w:gridCol w:w="5540"/>
      </w:tblGrid>
      <w:tr>
        <w:trPr>
          <w:trHeight w:val="486" w:hRule="exact"/>
        </w:trPr>
        <w:tc>
          <w:tcPr>
            <w:shd w:val="clear" w:color="auto" w:fill="FFFFFF"/>
            <w:vMerge w:val="restart"/>
            <w:tcBorders>
              <w:left w:val="single" w:sz="4"/>
              <w:top w:val="single" w:sz="4"/>
            </w:tcBorders>
            <w:vAlign w:val="top"/>
          </w:tcPr>
          <w:p>
            <w:pPr>
              <w:pStyle w:val="Style14"/>
              <w:framePr w:w="10087" w:wrap="notBeside" w:vAnchor="text" w:hAnchor="text" w:xAlign="center" w:y="1"/>
              <w:widowControl w:val="0"/>
              <w:keepNext w:val="0"/>
              <w:keepLines w:val="0"/>
              <w:shd w:val="clear" w:color="auto" w:fill="auto"/>
              <w:bidi w:val="0"/>
              <w:jc w:val="center"/>
              <w:spacing w:before="0" w:after="0" w:line="252" w:lineRule="exact"/>
              <w:ind w:left="0" w:right="0" w:firstLine="0"/>
            </w:pPr>
            <w:r>
              <w:rPr>
                <w:rStyle w:val="CharStyle26"/>
              </w:rPr>
              <w:t>Наименование участника открытого конкурса в электронной форме</w:t>
            </w:r>
          </w:p>
        </w:tc>
        <w:tc>
          <w:tcPr>
            <w:shd w:val="clear" w:color="auto" w:fill="FFFFFF"/>
            <w:gridSpan w:val="2"/>
            <w:tcBorders>
              <w:left w:val="single" w:sz="4"/>
              <w:right w:val="single" w:sz="4"/>
              <w:top w:val="single" w:sz="4"/>
            </w:tcBorders>
            <w:vAlign w:val="center"/>
          </w:tcPr>
          <w:p>
            <w:pPr>
              <w:pStyle w:val="Style14"/>
              <w:framePr w:w="10087"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rPr>
              <w:t>Расчет рейтинга по критерию</w:t>
            </w:r>
          </w:p>
        </w:tc>
      </w:tr>
      <w:tr>
        <w:trPr>
          <w:trHeight w:val="2254" w:hRule="exact"/>
        </w:trPr>
        <w:tc>
          <w:tcPr>
            <w:shd w:val="clear" w:color="auto" w:fill="FFFFFF"/>
            <w:vMerge/>
            <w:tcBorders>
              <w:left w:val="single" w:sz="4"/>
            </w:tcBorders>
            <w:vAlign w:val="top"/>
          </w:tcPr>
          <w:p>
            <w:pPr>
              <w:framePr w:w="10087" w:wrap="notBeside" w:vAnchor="text" w:hAnchor="text" w:xAlign="center" w:y="1"/>
            </w:pPr>
          </w:p>
        </w:tc>
        <w:tc>
          <w:tcPr>
            <w:shd w:val="clear" w:color="auto" w:fill="FFFFFF"/>
            <w:tcBorders>
              <w:left w:val="single" w:sz="4"/>
              <w:top w:val="single" w:sz="4"/>
            </w:tcBorders>
            <w:vAlign w:val="top"/>
          </w:tcPr>
          <w:p>
            <w:pPr>
              <w:pStyle w:val="Style14"/>
              <w:framePr w:w="10087" w:wrap="notBeside" w:vAnchor="text" w:hAnchor="text" w:xAlign="center" w:y="1"/>
              <w:widowControl w:val="0"/>
              <w:keepNext w:val="0"/>
              <w:keepLines w:val="0"/>
              <w:shd w:val="clear" w:color="auto" w:fill="auto"/>
              <w:bidi w:val="0"/>
              <w:jc w:val="center"/>
              <w:spacing w:before="0" w:after="0" w:line="256" w:lineRule="exact"/>
              <w:ind w:left="0" w:right="0" w:firstLine="0"/>
            </w:pPr>
            <w:r>
              <w:rPr>
                <w:rStyle w:val="CharStyle26"/>
              </w:rPr>
              <w:t xml:space="preserve">«Цена контракта» </w:t>
            </w:r>
            <w:r>
              <w:rPr>
                <w:rStyle w:val="CharStyle26"/>
                <w:lang w:val="en-US" w:eastAsia="en-US" w:bidi="en-US"/>
              </w:rPr>
              <w:t xml:space="preserve">Ra </w:t>
            </w:r>
            <w:r>
              <w:rPr>
                <w:rStyle w:val="CharStyle26"/>
              </w:rPr>
              <w:t>= Щп *0,6</w:t>
            </w:r>
          </w:p>
        </w:tc>
        <w:tc>
          <w:tcPr>
            <w:shd w:val="clear" w:color="auto" w:fill="FFFFFF"/>
            <w:tcBorders>
              <w:left w:val="single" w:sz="4"/>
              <w:right w:val="single" w:sz="4"/>
              <w:top w:val="single" w:sz="4"/>
            </w:tcBorders>
            <w:vAlign w:val="center"/>
          </w:tcPr>
          <w:p>
            <w:pPr>
              <w:pStyle w:val="Style14"/>
              <w:framePr w:w="10087" w:wrap="notBeside" w:vAnchor="text" w:hAnchor="text" w:xAlign="center" w:y="1"/>
              <w:widowControl w:val="0"/>
              <w:keepNext w:val="0"/>
              <w:keepLines w:val="0"/>
              <w:shd w:val="clear" w:color="auto" w:fill="auto"/>
              <w:bidi w:val="0"/>
              <w:jc w:val="center"/>
              <w:spacing w:before="0" w:after="0" w:line="252" w:lineRule="exact"/>
              <w:ind w:left="0" w:right="0" w:firstLine="0"/>
            </w:pPr>
            <w:r>
              <w:rPr>
                <w:rStyle w:val="CharStyle26"/>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квалификации».ЯЬ = КЗ х </w:t>
            </w:r>
            <w:r>
              <w:rPr>
                <w:rStyle w:val="CharStyle26"/>
                <w:lang w:val="en-US" w:eastAsia="en-US" w:bidi="en-US"/>
              </w:rPr>
              <w:t xml:space="preserve">(b </w:t>
            </w:r>
            <w:r>
              <w:rPr>
                <w:rStyle w:val="CharStyle26"/>
              </w:rPr>
              <w:t>1 + Ь2), (К3=0,4)</w:t>
            </w:r>
          </w:p>
        </w:tc>
      </w:tr>
      <w:tr>
        <w:trPr>
          <w:trHeight w:val="2491" w:hRule="exact"/>
        </w:trPr>
        <w:tc>
          <w:tcPr>
            <w:shd w:val="clear" w:color="auto" w:fill="FFFFFF"/>
            <w:tcBorders>
              <w:left w:val="single" w:sz="4"/>
              <w:top w:val="single" w:sz="4"/>
            </w:tcBorders>
            <w:vAlign w:val="center"/>
          </w:tcPr>
          <w:p>
            <w:pPr>
              <w:pStyle w:val="Style14"/>
              <w:framePr w:w="10087" w:wrap="notBeside" w:vAnchor="text" w:hAnchor="text" w:xAlign="center" w:y="1"/>
              <w:widowControl w:val="0"/>
              <w:keepNext w:val="0"/>
              <w:keepLines w:val="0"/>
              <w:shd w:val="clear" w:color="auto" w:fill="auto"/>
              <w:bidi w:val="0"/>
              <w:jc w:val="left"/>
              <w:spacing w:before="0" w:after="180" w:line="310" w:lineRule="exact"/>
              <w:ind w:left="80" w:right="0" w:firstLine="0"/>
            </w:pPr>
            <w:r>
              <w:rPr>
                <w:rStyle w:val="CharStyle24"/>
              </w:rPr>
              <w:t>Общество с ограниченной ответственностью «Сколиолоджик.ру»</w:t>
            </w:r>
          </w:p>
          <w:p>
            <w:pPr>
              <w:pStyle w:val="Style14"/>
              <w:framePr w:w="10087" w:wrap="notBeside" w:vAnchor="text" w:hAnchor="text" w:xAlign="center" w:y="1"/>
              <w:widowControl w:val="0"/>
              <w:keepNext w:val="0"/>
              <w:keepLines w:val="0"/>
              <w:shd w:val="clear" w:color="auto" w:fill="auto"/>
              <w:bidi w:val="0"/>
              <w:jc w:val="left"/>
              <w:spacing w:before="180" w:after="0" w:line="317" w:lineRule="exact"/>
              <w:ind w:left="80" w:right="0" w:firstLine="0"/>
            </w:pPr>
            <w:r>
              <w:rPr>
                <w:rStyle w:val="CharStyle24"/>
              </w:rPr>
              <w:t>Идентификационный номер заявки 189</w:t>
            </w:r>
          </w:p>
        </w:tc>
        <w:tc>
          <w:tcPr>
            <w:shd w:val="clear" w:color="auto" w:fill="FFFFFF"/>
            <w:tcBorders>
              <w:left w:val="single" w:sz="4"/>
              <w:top w:val="single" w:sz="4"/>
            </w:tcBorders>
            <w:vAlign w:val="top"/>
          </w:tcPr>
          <w:p>
            <w:pPr>
              <w:pStyle w:val="Style14"/>
              <w:framePr w:w="10087"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lang w:val="en-US" w:eastAsia="en-US" w:bidi="en-US"/>
              </w:rPr>
              <w:t>100x0,6 = 60</w:t>
            </w:r>
          </w:p>
        </w:tc>
        <w:tc>
          <w:tcPr>
            <w:shd w:val="clear" w:color="auto" w:fill="FFFFFF"/>
            <w:tcBorders>
              <w:left w:val="single" w:sz="4"/>
              <w:right w:val="single" w:sz="4"/>
              <w:top w:val="single" w:sz="4"/>
            </w:tcBorders>
            <w:vAlign w:val="top"/>
          </w:tcPr>
          <w:p>
            <w:pPr>
              <w:pStyle w:val="Style14"/>
              <w:framePr w:w="10087"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rPr>
              <w:t>0,4 х (40 + 60) = 40</w:t>
            </w:r>
          </w:p>
        </w:tc>
      </w:tr>
      <w:tr>
        <w:trPr>
          <w:trHeight w:val="2480" w:hRule="exact"/>
        </w:trPr>
        <w:tc>
          <w:tcPr>
            <w:shd w:val="clear" w:color="auto" w:fill="FFFFFF"/>
            <w:tcBorders>
              <w:left w:val="single" w:sz="4"/>
              <w:top w:val="single" w:sz="4"/>
              <w:bottom w:val="single" w:sz="4"/>
            </w:tcBorders>
            <w:vAlign w:val="top"/>
          </w:tcPr>
          <w:p>
            <w:pPr>
              <w:pStyle w:val="Style14"/>
              <w:framePr w:w="10087" w:wrap="notBeside" w:vAnchor="text" w:hAnchor="text" w:xAlign="center" w:y="1"/>
              <w:widowControl w:val="0"/>
              <w:keepNext w:val="0"/>
              <w:keepLines w:val="0"/>
              <w:shd w:val="clear" w:color="auto" w:fill="auto"/>
              <w:bidi w:val="0"/>
              <w:jc w:val="left"/>
              <w:spacing w:before="0" w:after="180" w:line="306" w:lineRule="exact"/>
              <w:ind w:left="80" w:right="0" w:firstLine="0"/>
            </w:pPr>
            <w:r>
              <w:rPr>
                <w:rStyle w:val="CharStyle24"/>
              </w:rPr>
              <w:t>Общество с ограниченной ответственностью «ИНТРА»</w:t>
            </w:r>
          </w:p>
          <w:p>
            <w:pPr>
              <w:pStyle w:val="Style14"/>
              <w:framePr w:w="10087" w:wrap="notBeside" w:vAnchor="text" w:hAnchor="text" w:xAlign="center" w:y="1"/>
              <w:widowControl w:val="0"/>
              <w:keepNext w:val="0"/>
              <w:keepLines w:val="0"/>
              <w:shd w:val="clear" w:color="auto" w:fill="auto"/>
              <w:bidi w:val="0"/>
              <w:jc w:val="left"/>
              <w:spacing w:before="180" w:after="0" w:line="317" w:lineRule="exact"/>
              <w:ind w:left="80" w:right="0" w:firstLine="0"/>
            </w:pPr>
            <w:r>
              <w:rPr>
                <w:rStyle w:val="CharStyle24"/>
              </w:rPr>
              <w:t>Идентификационный номер заявки 99</w:t>
            </w:r>
          </w:p>
        </w:tc>
        <w:tc>
          <w:tcPr>
            <w:shd w:val="clear" w:color="auto" w:fill="FFFFFF"/>
            <w:tcBorders>
              <w:left w:val="single" w:sz="4"/>
              <w:top w:val="single" w:sz="4"/>
              <w:bottom w:val="single" w:sz="4"/>
            </w:tcBorders>
            <w:vAlign w:val="top"/>
          </w:tcPr>
          <w:p>
            <w:pPr>
              <w:pStyle w:val="Style14"/>
              <w:framePr w:w="10087"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lang w:val="en-US" w:eastAsia="en-US" w:bidi="en-US"/>
              </w:rPr>
              <w:t>96,37x0,6 = 57,82</w:t>
            </w:r>
          </w:p>
        </w:tc>
        <w:tc>
          <w:tcPr>
            <w:shd w:val="clear" w:color="auto" w:fill="FFFFFF"/>
            <w:tcBorders>
              <w:left w:val="single" w:sz="4"/>
              <w:right w:val="single" w:sz="4"/>
              <w:top w:val="single" w:sz="4"/>
              <w:bottom w:val="single" w:sz="4"/>
            </w:tcBorders>
            <w:vAlign w:val="top"/>
          </w:tcPr>
          <w:p>
            <w:pPr>
              <w:pStyle w:val="Style14"/>
              <w:framePr w:w="10087"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rPr>
              <w:t>0,4 х (8 + 60) = 27,2</w:t>
            </w:r>
          </w:p>
        </w:tc>
      </w:tr>
    </w:tbl>
    <w:p>
      <w:pPr>
        <w:pStyle w:val="Style19"/>
        <w:framePr w:w="10087" w:wrap="notBeside" w:vAnchor="text" w:hAnchor="text" w:xAlign="center" w:y="1"/>
        <w:widowControl w:val="0"/>
        <w:keepNext w:val="0"/>
        <w:keepLines w:val="0"/>
        <w:shd w:val="clear" w:color="auto" w:fill="auto"/>
        <w:bidi w:val="0"/>
        <w:jc w:val="both"/>
        <w:spacing w:before="0" w:after="0" w:line="292" w:lineRule="exact"/>
        <w:ind w:left="0" w:right="0" w:firstLine="0"/>
      </w:pPr>
      <w:r>
        <w:rPr>
          <w:lang w:val="ru-RU" w:eastAsia="ru-RU" w:bidi="ru-RU"/>
          <w:w w:val="100"/>
          <w:spacing w:val="0"/>
          <w:color w:val="000000"/>
          <w:position w:val="0"/>
        </w:rPr>
        <w:t>Таким образом, в результате расчета итогового рейтинга ООО «ИНТРА» присвоено второе место (85,02 баллов), так как заявка при ее оценке по стоимостному критерию набрала 57,82 баллов, по нестоимостному критерию - 27,2. В связи с чем, довод Заявителя о том, что квалификация участника закупки с опытом успешного выполнения работ не по государственным контрактам будет необоснованно</w:t>
      </w:r>
    </w:p>
    <w:p>
      <w:pPr>
        <w:widowControl w:val="0"/>
        <w:rPr>
          <w:sz w:val="2"/>
          <w:szCs w:val="2"/>
        </w:rPr>
      </w:pPr>
    </w:p>
    <w:p>
      <w:pPr>
        <w:pStyle w:val="Style14"/>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 xml:space="preserve">оценена конкурсной комиссией в 0 баллов, Комиссия Карельского У ФАС России признает </w:t>
      </w:r>
      <w:r>
        <w:rPr>
          <w:rStyle w:val="CharStyle25"/>
        </w:rPr>
        <w:t>необоснованным.</w:t>
      </w:r>
    </w:p>
    <w:p>
      <w:pPr>
        <w:pStyle w:val="Style14"/>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Комиссия Карельского У ФАС России принимает утверждение Заказчика о том, что требование к участнику конкурса о наличии у него опыта в выполнении именно государственных и муниципальных контрактов является правомерным, поскольку информация о таких контрактах (включая сведения об исполнении таких контрактов, о начислении и об оплате штрафов в связи с ненадлежащим исполнением обязательств по таким контрактам и др.), заключенных в соответствии с Законом, размещена в единой информационной системе в сфере закупок и позволяет Заказчику своевременно в ходе рассмотрения заявок на участие в конкурсе, удостовериться в достоверности таких сведений. Опыт работы претендента позволяет судить о его квалификации и способности выполнить объем работ, предусмотренный закупочной документацией.</w:t>
      </w:r>
    </w:p>
    <w:p>
      <w:pPr>
        <w:pStyle w:val="Style14"/>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Протезирование является одним из основных направлений реабилитации инвалидов, государство гарантирует инвалидам проведение реабилитационных мероприятий, получение технических средств и услуг, предусмотренных федеральным перечнем реабилитационных мероприятий, за счет средств федерального бюджета (статьи 9-11.1 Федерального закона от 24.11.1995 года№181-ФЗ «О социальной защите инвалидов в Российской Федерации».</w:t>
      </w:r>
    </w:p>
    <w:p>
      <w:pPr>
        <w:pStyle w:val="Style14"/>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Обеспечение инвалидов реабилитационными мероприятиями и техническими средствами реабилитации осуществляется в соответствии с Федеральным перечнем реабилитационных мероприятий, технических средств реабилитации и услуг, предоставляемых инвалиду, утвержденным распоряжением Правительства Российской Федерации от 30.12.2005 года№ 2347-р.</w:t>
      </w:r>
    </w:p>
    <w:p>
      <w:pPr>
        <w:pStyle w:val="Style14"/>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Требования о наличии у участников закупки опыта выполнения работ в объеме, сопоставимом с объемом предполагаемых к выполнению робот обусловлены спецификой предмета закупки. Повышенные требования к оценке участников закупки направлены на надлежащее обеспечение социальных задач государства исходя из объема закупаемых по конкретным торгам услуг.</w:t>
      </w:r>
    </w:p>
    <w:p>
      <w:pPr>
        <w:pStyle w:val="Style14"/>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Таким образом, установление оценочного критерия, связанного с наличием у участника опыта работ по исполнению государственных и муниципальных контрактов, не направлено на ограничение количества участников закупки, а является способом реализации потребности в выборе наиболее квалифицированного и опытного исполнителя работ.</w:t>
      </w:r>
    </w:p>
    <w:p>
      <w:pPr>
        <w:pStyle w:val="Style14"/>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Комиссия Карельского У ФАС России подтверждает довод Заказчика о том, что Применение в качестве оценки опыта работы на основании коммерческих договоров, не отвечает указанным выше, установленным федеральным законодательством потребностям Заказчика и нормам Постановления №240, так как, в отличие от государственных и муниципальных контрактов, в отношении коммерческих договоров отсутствует общедоступный реестр, содержащий информацию о штрафах, пенях, неустойках, а также иную информацию, с помощью которой заказчик смог бы проверить надлежащее и в полном объеме выполнение контрагентом своих обязательств.</w:t>
      </w:r>
    </w:p>
    <w:p>
      <w:pPr>
        <w:pStyle w:val="Style14"/>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 xml:space="preserve">Вместе с тем, согласно приложению №1 к информационной карте конкурсной документации, по показателю «Опыт участника конкурса по успешному выполнению работ по изготовлению протезов сопоставимого характера и объема» оценивается наличие закупки опыта по успешному выполнению работ сопоставимого характера и объема </w:t>
      </w:r>
      <w:r>
        <w:rPr>
          <w:rStyle w:val="CharStyle16"/>
        </w:rPr>
        <w:t>без нарушения сроков и иных условий контракта по вине участника.</w:t>
      </w:r>
    </w:p>
    <w:p>
      <w:pPr>
        <w:pStyle w:val="Style14"/>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С учетом того, что предметом закупки является социально значимый характер услуг, установление Заказчиком такого критерия, как опыт работы (сопоставимый объем выполненных работ), связанного с предметом закупки, направлено, прежде всего, на возможность реального исполнения участником закупки сопоставимого объема услуг, в установленные сроки и качественно обеспечить потребность инвалидов, что само по себе (в отсутствие подтвержденных фактов ограничения конкуренции, проведения торгов в пользу</w:t>
        <w:br w:type="page"/>
        <w:t>определенного лица) не может быть положено в обоснование того, что такие критерии заведомо созданы с целью ограничения количества участников.</w:t>
      </w:r>
    </w:p>
    <w:p>
      <w:pPr>
        <w:pStyle w:val="Style14"/>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Вместе с тем, организации с иным опытом работы также могут участвовать в закупке. Согласно Определению Верховного Суда РФ от 11.07.2019 по делу А53-1094/2018, нестоимостной критерий оценки не является единственным и обязательным условием участия в конкурсе, не предрешает исход закупки, не создает преимущества конкретному лицу, поскольку предусматривает возможность участникам конкурса конкурировать по всем критериям, установленным Заказчиком, а в данном случае направлен, прежде всего, на определение победителя конкурса - лица, наиболее соответствующего потребностям заказчика при оказании услуг по объекту закупки.</w:t>
      </w:r>
    </w:p>
    <w:p>
      <w:pPr>
        <w:pStyle w:val="Style14"/>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Довод Заявителя о том, что указанные нестоимостные критерии (показатели) ущемляют права потенциальных участников и создают неравные условия для разных категорий участников рынка Комиссией Карельского У ФАС России признается необоснованным, поскольку согласно Закону о контрактной системе Заказчик самостоятельно определяет необходимость в установлении критериев (показателей) для размещаемых им закупок в целях выявления лучших условий исполнения контракта, что соответствует требованиям Правил и не противоречит требованиям Закона. Как показывает судебная практика, требование Заказчика к участнику конкурса о наличии у него опыта в выполнении именно государственных и муниципальных контрактов является законным, поскольку опыта работы по контрактам, заключенным по правилам общих норм Гражданского кодекса Российской Федерации о договоре на выполнение работ зачастую оказывается недостаточно для подтверждения высокой квалификации участников объявленного конкурса.</w:t>
      </w:r>
    </w:p>
    <w:p>
      <w:pPr>
        <w:pStyle w:val="Style14"/>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связи с чем, Комиссия Карельского У ФАС России считает, что действия Заказчика в части установления вышеуказанного порядка оценки по показателям «Опыт участника конкурса по успешному выполнению работ по изготовлению протезов сопоставимого объема и характера» и подтверждения наличия данного опыта выполнения работ представлением государственных контрактов не противоречит требованиям Закона о контрактной системе и Правил №1085.</w:t>
      </w:r>
    </w:p>
    <w:p>
      <w:pPr>
        <w:pStyle w:val="Style14"/>
        <w:widowControl w:val="0"/>
        <w:keepNext w:val="0"/>
        <w:keepLines w:val="0"/>
        <w:shd w:val="clear" w:color="auto" w:fill="auto"/>
        <w:bidi w:val="0"/>
        <w:jc w:val="both"/>
        <w:spacing w:before="0" w:after="286"/>
        <w:ind w:left="20" w:right="20" w:firstLine="560"/>
      </w:pPr>
      <w:r>
        <w:rPr>
          <w:lang w:val="ru-RU" w:eastAsia="ru-RU" w:bidi="ru-RU"/>
          <w:w w:val="100"/>
          <w:spacing w:val="0"/>
          <w:color w:val="000000"/>
          <w:position w:val="0"/>
        </w:rPr>
        <w:t>На основании вышеизложенного и руководствуясь статьями 99, 106 Закона о контрактной системе, Комиссия Карельского У ФАС России по контролю в сфере закупок для государственных и муниципальных нужд</w:t>
      </w:r>
    </w:p>
    <w:p>
      <w:pPr>
        <w:pStyle w:val="Style12"/>
        <w:widowControl w:val="0"/>
        <w:keepNext w:val="0"/>
        <w:keepLines w:val="0"/>
        <w:shd w:val="clear" w:color="auto" w:fill="auto"/>
        <w:bidi w:val="0"/>
        <w:jc w:val="center"/>
        <w:spacing w:before="0" w:after="264" w:line="230" w:lineRule="exact"/>
        <w:ind w:left="0" w:right="0" w:firstLine="0"/>
      </w:pPr>
      <w:r>
        <w:rPr>
          <w:lang w:val="ru-RU" w:eastAsia="ru-RU" w:bidi="ru-RU"/>
          <w:w w:val="100"/>
          <w:spacing w:val="0"/>
          <w:color w:val="000000"/>
          <w:position w:val="0"/>
        </w:rPr>
        <w:t>РЕШИЛА:</w:t>
      </w:r>
    </w:p>
    <w:p>
      <w:pPr>
        <w:pStyle w:val="Style14"/>
        <w:widowControl w:val="0"/>
        <w:keepNext w:val="0"/>
        <w:keepLines w:val="0"/>
        <w:shd w:val="clear" w:color="auto" w:fill="auto"/>
        <w:bidi w:val="0"/>
        <w:jc w:val="both"/>
        <w:spacing w:before="0" w:after="289"/>
        <w:ind w:left="20" w:right="20" w:firstLine="560"/>
      </w:pPr>
      <w:r>
        <w:rPr>
          <w:lang w:val="ru-RU" w:eastAsia="ru-RU" w:bidi="ru-RU"/>
          <w:w w:val="100"/>
          <w:spacing w:val="0"/>
          <w:color w:val="000000"/>
          <w:position w:val="0"/>
        </w:rPr>
        <w:t>Признать жалобу ООО «ИНТРА» на действия Заказчика - ГУ - РО Фонда социального страхования Российской Федерации по Республике Карелия при проведении открытого конкурса в электронной форме на выполнение работ, требующих стационарных условий, по обеспечению инвалидов и отдельных категорий граждан из числа ветеранов протезами нижних конечностей (извещение № 0206100000321000113) необоснованной.</w:t>
      </w:r>
    </w:p>
    <w:p>
      <w:pPr>
        <w:pStyle w:val="Style27"/>
        <w:widowControl w:val="0"/>
        <w:keepNext w:val="0"/>
        <w:keepLines w:val="0"/>
        <w:shd w:val="clear" w:color="auto" w:fill="auto"/>
        <w:bidi w:val="0"/>
        <w:jc w:val="left"/>
        <w:spacing w:before="0" w:after="598"/>
        <w:ind w:left="20" w:right="20"/>
      </w:pPr>
      <w:r>
        <w:rPr>
          <w:lang w:val="ru-RU" w:eastAsia="ru-RU" w:bidi="ru-RU"/>
          <w:w w:val="100"/>
          <w:spacing w:val="0"/>
          <w:color w:val="000000"/>
          <w:position w:val="0"/>
        </w:rPr>
        <w:t>Настоящее решение может быть обжаловано в Арбитражном суде Республики Карелия в течение трех месяцев со дня его вы-моения</w:t>
      </w:r>
    </w:p>
    <w:p>
      <w:pPr>
        <w:pStyle w:val="Style14"/>
        <w:widowControl w:val="0"/>
        <w:keepNext w:val="0"/>
        <w:keepLines w:val="0"/>
        <w:shd w:val="clear" w:color="auto" w:fill="auto"/>
        <w:bidi w:val="0"/>
        <w:jc w:val="both"/>
        <w:spacing w:before="0" w:after="310" w:line="230" w:lineRule="exact"/>
        <w:ind w:left="20" w:right="0" w:firstLine="0"/>
      </w:pPr>
      <w:r>
        <w:rPr>
          <w:lang w:val="ru-RU" w:eastAsia="ru-RU" w:bidi="ru-RU"/>
          <w:w w:val="100"/>
          <w:spacing w:val="0"/>
          <w:color w:val="000000"/>
          <w:position w:val="0"/>
        </w:rPr>
        <w:t>Заместитель председателя Комиссии</w:t>
      </w:r>
    </w:p>
    <w:p>
      <w:pPr>
        <w:pStyle w:val="Style14"/>
        <w:widowControl w:val="0"/>
        <w:keepNext w:val="0"/>
        <w:keepLines w:val="0"/>
        <w:shd w:val="clear" w:color="auto" w:fill="auto"/>
        <w:bidi w:val="0"/>
        <w:jc w:val="both"/>
        <w:spacing w:before="0" w:after="0" w:line="230" w:lineRule="exact"/>
        <w:ind w:left="20" w:right="0" w:firstLine="0"/>
        <w:sectPr>
          <w:type w:val="continuous"/>
          <w:pgSz w:w="11906" w:h="16838"/>
          <w:pgMar w:top="1433" w:left="889" w:right="677" w:bottom="961"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14"/>
        <w:framePr w:w="2116" w:h="226" w:wrap="none" w:vAnchor="text" w:hAnchor="margin" w:x="8013" w:y="192"/>
        <w:widowControl w:val="0"/>
        <w:keepNext w:val="0"/>
        <w:keepLines w:val="0"/>
        <w:shd w:val="clear" w:color="auto" w:fill="auto"/>
        <w:bidi w:val="0"/>
        <w:jc w:val="left"/>
        <w:spacing w:before="0" w:after="0" w:line="220" w:lineRule="exact"/>
        <w:ind w:left="100" w:right="0" w:firstLine="0"/>
      </w:pPr>
      <w:r>
        <w:rPr>
          <w:rStyle w:val="CharStyle29"/>
          <w:spacing w:val="0"/>
        </w:rPr>
        <w:t>А.В. Аристархова</w:t>
      </w:r>
    </w:p>
    <w:p>
      <w:pPr>
        <w:widowControl w:val="0"/>
        <w:spacing w:line="496" w:lineRule="exact"/>
      </w:pPr>
    </w:p>
    <w:p>
      <w:pPr>
        <w:widowControl w:val="0"/>
        <w:rPr>
          <w:sz w:val="2"/>
          <w:szCs w:val="2"/>
        </w:rPr>
      </w:pPr>
    </w:p>
    <w:sectPr>
      <w:type w:val="continuous"/>
      <w:pgSz w:w="11906" w:h="16838"/>
      <w:pgMar w:top="933" w:left="677" w:right="677" w:bottom="93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1.09.%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8.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iCs/>
      <w:u w:val="none"/>
      <w:strike w:val="0"/>
      <w:smallCaps w:val="0"/>
      <w:sz w:val="18"/>
      <w:szCs w:val="18"/>
      <w:rFonts w:ascii="Arial" w:eastAsia="Arial" w:hAnsi="Arial" w:cs="Arial"/>
    </w:rPr>
  </w:style>
  <w:style w:type="character" w:customStyle="1" w:styleId="CharStyle5">
    <w:name w:val="Основной текст (2) + Times New Roman,8 pt,Не курсив,Интервал 3 pt"/>
    <w:basedOn w:val="CharStyle4"/>
    <w:rPr>
      <w:lang w:val="ru-RU" w:eastAsia="ru-RU" w:bidi="ru-RU"/>
      <w:i/>
      <w:iCs/>
      <w:u w:val="single"/>
      <w:sz w:val="16"/>
      <w:szCs w:val="16"/>
      <w:rFonts w:ascii="Times New Roman" w:eastAsia="Times New Roman" w:hAnsi="Times New Roman" w:cs="Times New Roman"/>
      <w:w w:val="100"/>
      <w:spacing w:val="70"/>
      <w:color w:val="000000"/>
      <w:position w:val="0"/>
    </w:rPr>
  </w:style>
  <w:style w:type="character" w:customStyle="1" w:styleId="CharStyle6">
    <w:name w:val="Основной текст (2)"/>
    <w:basedOn w:val="CharStyle4"/>
    <w:rPr>
      <w:lang w:val="ru-RU" w:eastAsia="ru-RU" w:bidi="ru-RU"/>
      <w:u w:val="single"/>
      <w:w w:val="100"/>
      <w:spacing w:val="0"/>
      <w:color w:val="000000"/>
      <w:position w:val="0"/>
    </w:rPr>
  </w:style>
  <w:style w:type="character" w:customStyle="1" w:styleId="CharStyle7">
    <w:name w:val="Основной текст (2) + Times New Roman,8 pt,Не курсив,Интервал 3 pt"/>
    <w:basedOn w:val="CharStyle4"/>
    <w:rPr>
      <w:lang w:val="ru-RU" w:eastAsia="ru-RU" w:bidi="ru-RU"/>
      <w:i/>
      <w:iCs/>
      <w:sz w:val="16"/>
      <w:szCs w:val="16"/>
      <w:rFonts w:ascii="Times New Roman" w:eastAsia="Times New Roman" w:hAnsi="Times New Roman" w:cs="Times New Roman"/>
      <w:w w:val="100"/>
      <w:spacing w:val="70"/>
      <w:color w:val="000000"/>
      <w:position w:val="0"/>
    </w:rPr>
  </w:style>
  <w:style w:type="character" w:customStyle="1" w:styleId="CharStyle8">
    <w:name w:val="Основной текст (2)"/>
    <w:basedOn w:val="CharStyle4"/>
    <w:rPr>
      <w:lang w:val="ru-RU" w:eastAsia="ru-RU" w:bidi="ru-RU"/>
      <w:w w:val="100"/>
      <w:spacing w:val="0"/>
      <w:color w:val="000000"/>
      <w:position w:val="0"/>
    </w:rPr>
  </w:style>
  <w:style w:type="character" w:customStyle="1" w:styleId="CharStyle9">
    <w:name w:val="Основной текст (2) + Times New Roman,10 pt,Полужирный,Не курсив"/>
    <w:basedOn w:val="CharStyle4"/>
    <w:rPr>
      <w:lang w:val="ru-RU" w:eastAsia="ru-RU" w:bidi="ru-RU"/>
      <w:b/>
      <w:bCs/>
      <w:i/>
      <w:iCs/>
      <w:sz w:val="20"/>
      <w:szCs w:val="20"/>
      <w:rFonts w:ascii="Times New Roman" w:eastAsia="Times New Roman" w:hAnsi="Times New Roman" w:cs="Times New Roman"/>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 Курсив"/>
    <w:basedOn w:val="CharStyle15"/>
    <w:rPr>
      <w:lang w:val="ru-RU" w:eastAsia="ru-RU" w:bidi="ru-RU"/>
      <w:i/>
      <w:iCs/>
      <w:w w:val="100"/>
      <w:spacing w:val="0"/>
      <w:color w:val="000000"/>
      <w:position w:val="0"/>
    </w:rPr>
  </w:style>
  <w:style w:type="character" w:customStyle="1" w:styleId="CharStyle17">
    <w:name w:val="Основной текст"/>
    <w:basedOn w:val="CharStyle15"/>
    <w:rPr>
      <w:lang w:val="ru-RU" w:eastAsia="ru-RU" w:bidi="ru-RU"/>
      <w:u w:val="single"/>
      <w:w w:val="100"/>
      <w:spacing w:val="0"/>
      <w:color w:val="000000"/>
      <w:position w:val="0"/>
    </w:rPr>
  </w:style>
  <w:style w:type="character" w:customStyle="1" w:styleId="CharStyle18">
    <w:name w:val="Заголовок №1 + Не полужирный"/>
    <w:basedOn w:val="CharStyle11"/>
    <w:rPr>
      <w:lang w:val="ru-RU" w:eastAsia="ru-RU" w:bidi="ru-RU"/>
      <w:b/>
      <w:bCs/>
      <w:w w:val="100"/>
      <w:spacing w:val="0"/>
      <w:color w:val="000000"/>
      <w:position w:val="0"/>
    </w:rPr>
  </w:style>
  <w:style w:type="character" w:customStyle="1" w:styleId="CharStyle20">
    <w:name w:val="Подпись к таблице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Подпись к таблице"/>
    <w:basedOn w:val="CharStyle20"/>
    <w:rPr>
      <w:lang w:val="ru-RU" w:eastAsia="ru-RU" w:bidi="ru-RU"/>
      <w:u w:val="single"/>
      <w:w w:val="100"/>
      <w:spacing w:val="0"/>
      <w:color w:val="000000"/>
      <w:position w:val="0"/>
    </w:rPr>
  </w:style>
  <w:style w:type="character" w:customStyle="1" w:styleId="CharStyle22">
    <w:name w:val="Основной текст + Calibri,10,5 pt,Полужирный"/>
    <w:basedOn w:val="CharStyle15"/>
    <w:rPr>
      <w:lang w:val="ru-RU" w:eastAsia="ru-RU" w:bidi="ru-RU"/>
      <w:b/>
      <w:bCs/>
      <w:sz w:val="21"/>
      <w:szCs w:val="21"/>
      <w:rFonts w:ascii="Calibri" w:eastAsia="Calibri" w:hAnsi="Calibri" w:cs="Calibri"/>
      <w:w w:val="100"/>
      <w:spacing w:val="0"/>
      <w:color w:val="000000"/>
      <w:position w:val="0"/>
    </w:rPr>
  </w:style>
  <w:style w:type="character" w:customStyle="1" w:styleId="CharStyle23">
    <w:name w:val="Основной текст + 7 pt,Интервал 1 pt"/>
    <w:basedOn w:val="CharStyle15"/>
    <w:rPr>
      <w:lang w:val="ru-RU" w:eastAsia="ru-RU" w:bidi="ru-RU"/>
      <w:sz w:val="14"/>
      <w:szCs w:val="14"/>
      <w:w w:val="100"/>
      <w:spacing w:val="20"/>
      <w:color w:val="000000"/>
      <w:position w:val="0"/>
    </w:rPr>
  </w:style>
  <w:style w:type="character" w:customStyle="1" w:styleId="CharStyle24">
    <w:name w:val="Основной текст + Calibri,10,5 pt"/>
    <w:basedOn w:val="CharStyle15"/>
    <w:rPr>
      <w:lang w:val="ru-RU" w:eastAsia="ru-RU" w:bidi="ru-RU"/>
      <w:sz w:val="21"/>
      <w:szCs w:val="21"/>
      <w:rFonts w:ascii="Calibri" w:eastAsia="Calibri" w:hAnsi="Calibri" w:cs="Calibri"/>
      <w:w w:val="100"/>
      <w:spacing w:val="0"/>
      <w:color w:val="000000"/>
      <w:position w:val="0"/>
    </w:rPr>
  </w:style>
  <w:style w:type="character" w:customStyle="1" w:styleId="CharStyle25">
    <w:name w:val="Основной текст + Полужирный"/>
    <w:basedOn w:val="CharStyle15"/>
    <w:rPr>
      <w:lang w:val="ru-RU" w:eastAsia="ru-RU" w:bidi="ru-RU"/>
      <w:b/>
      <w:bCs/>
      <w:w w:val="100"/>
      <w:spacing w:val="0"/>
      <w:color w:val="000000"/>
      <w:position w:val="0"/>
    </w:rPr>
  </w:style>
  <w:style w:type="character" w:customStyle="1" w:styleId="CharStyle26">
    <w:name w:val="Основной текст + 10 pt,Полужирный"/>
    <w:basedOn w:val="CharStyle15"/>
    <w:rPr>
      <w:lang w:val="ru-RU" w:eastAsia="ru-RU" w:bidi="ru-RU"/>
      <w:b/>
      <w:bCs/>
      <w:sz w:val="20"/>
      <w:szCs w:val="20"/>
      <w:w w:val="100"/>
      <w:spacing w:val="0"/>
      <w:color w:val="000000"/>
      <w:position w:val="0"/>
    </w:rPr>
  </w:style>
  <w:style w:type="character" w:customStyle="1" w:styleId="CharStyle28">
    <w:name w:val="Основной текст (4)_"/>
    <w:basedOn w:val="DefaultParagraphFont"/>
    <w:link w:val="Style27"/>
    <w:rPr>
      <w:b w:val="0"/>
      <w:bCs w:val="0"/>
      <w:i/>
      <w:iCs/>
      <w:u w:val="none"/>
      <w:strike w:val="0"/>
      <w:smallCaps w:val="0"/>
      <w:sz w:val="19"/>
      <w:szCs w:val="19"/>
      <w:rFonts w:ascii="Times New Roman" w:eastAsia="Times New Roman" w:hAnsi="Times New Roman" w:cs="Times New Roman"/>
    </w:rPr>
  </w:style>
  <w:style w:type="character" w:customStyle="1" w:styleId="CharStyle2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5"/>
    </w:rPr>
  </w:style>
  <w:style w:type="paragraph" w:customStyle="1" w:styleId="Style3">
    <w:name w:val="Основной текст (2)"/>
    <w:basedOn w:val="Normal"/>
    <w:link w:val="CharStyle4"/>
    <w:pPr>
      <w:widowControl w:val="0"/>
      <w:shd w:val="clear" w:color="auto" w:fill="FFFFFF"/>
      <w:spacing w:line="385" w:lineRule="exact"/>
      <w:ind w:firstLine="540"/>
    </w:pPr>
    <w:rPr>
      <w:b w:val="0"/>
      <w:bCs w:val="0"/>
      <w:i/>
      <w:iCs/>
      <w:u w:val="none"/>
      <w:strike w:val="0"/>
      <w:smallCaps w:val="0"/>
      <w:sz w:val="18"/>
      <w:szCs w:val="18"/>
      <w:rFonts w:ascii="Arial" w:eastAsia="Arial" w:hAnsi="Arial" w:cs="Arial"/>
    </w:rPr>
  </w:style>
  <w:style w:type="paragraph" w:customStyle="1" w:styleId="Style10">
    <w:name w:val="Заголовок №1"/>
    <w:basedOn w:val="Normal"/>
    <w:link w:val="CharStyle11"/>
    <w:pPr>
      <w:widowControl w:val="0"/>
      <w:shd w:val="clear" w:color="auto" w:fill="FFFFFF"/>
      <w:outlineLvl w:val="0"/>
      <w:spacing w:line="292"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after="540"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Подпись к таблице"/>
    <w:basedOn w:val="Normal"/>
    <w:link w:val="CharStyle20"/>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4)"/>
    <w:basedOn w:val="Normal"/>
    <w:link w:val="CharStyle28"/>
    <w:pPr>
      <w:widowControl w:val="0"/>
      <w:shd w:val="clear" w:color="auto" w:fill="FFFFFF"/>
      <w:spacing w:before="240" w:after="600" w:line="227" w:lineRule="exact"/>
      <w:ind w:firstLine="1420"/>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