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1" w:left="2480" w:right="8806" w:bottom="371" w:header="0" w:footer="3" w:gutter="0"/>
          <w:rtlGutter w:val="0"/>
          <w:cols w:space="720"/>
          <w:noEndnote/>
          <w:docGrid w:linePitch="360"/>
        </w:sectPr>
      </w:pPr>
    </w:p>
    <w:p>
      <w:pPr>
        <w:widowControl w:val="0"/>
        <w:spacing w:line="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3266" w:h="470" w:wrap="around" w:vAnchor="text" w:hAnchor="margin" w:x="-4799" w:y="-14"/>
        <w:widowControl w:val="0"/>
        <w:keepNext w:val="0"/>
        <w:keepLines w:val="0"/>
        <w:shd w:val="clear" w:color="auto" w:fill="auto"/>
        <w:bidi w:val="0"/>
        <w:spacing w:before="0" w:after="0"/>
        <w:ind w:left="0" w:right="0" w:firstLine="0"/>
      </w:pPr>
      <w:r>
        <w:rPr>
          <w:rStyle w:val="CharStyle5"/>
          <w:b/>
          <w:bCs/>
          <w:spacing w:val="0"/>
        </w:rPr>
        <w:t>ФЕДЕРАЛЬНАЯ АНТИМОНОПОЛЬНАЯ СЛУЖБА</w:t>
      </w:r>
    </w:p>
    <w:p>
      <w:pPr>
        <w:pStyle w:val="Style6"/>
        <w:widowControl w:val="0"/>
        <w:keepNext w:val="0"/>
        <w:keepLines w:val="0"/>
        <w:shd w:val="clear" w:color="auto" w:fill="auto"/>
        <w:bidi w:val="0"/>
        <w:jc w:val="left"/>
        <w:spacing w:before="0" w:after="0" w:line="260" w:lineRule="exact"/>
        <w:ind w:left="0" w:right="0" w:firstLine="0"/>
        <w:sectPr>
          <w:type w:val="continuous"/>
          <w:pgSz w:w="11906" w:h="16838"/>
          <w:pgMar w:top="121" w:left="6008" w:right="685" w:bottom="371" w:header="0" w:footer="3" w:gutter="0"/>
          <w:rtlGutter w:val="0"/>
          <w:cols w:space="720"/>
          <w:noEndnote/>
          <w:docGrid w:linePitch="360"/>
        </w:sectPr>
      </w:pPr>
      <w:r>
        <w:rPr>
          <w:lang w:val="ru-RU" w:eastAsia="ru-RU" w:bidi="ru-RU"/>
          <w:w w:val="100"/>
          <w:spacing w:val="0"/>
          <w:color w:val="000000"/>
          <w:position w:val="0"/>
        </w:rPr>
        <w:t>ГБУ «ССиНМП им. А.С. Пучкова» ДЗМ</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456" w:h="635" w:wrap="around" w:vAnchor="text" w:hAnchor="margin" w:x="-3887" w:y="57"/>
        <w:widowControl w:val="0"/>
        <w:keepNext w:val="0"/>
        <w:keepLines w:val="0"/>
        <w:shd w:val="clear" w:color="auto" w:fill="auto"/>
        <w:bidi w:val="0"/>
        <w:jc w:val="left"/>
        <w:spacing w:before="0" w:after="260" w:line="170" w:lineRule="exact"/>
        <w:ind w:left="0" w:right="0" w:firstLine="0"/>
      </w:pPr>
      <w:r>
        <w:rPr>
          <w:rStyle w:val="CharStyle5"/>
          <w:b/>
          <w:bCs/>
          <w:spacing w:val="0"/>
        </w:rPr>
        <w:t>УПРАВЛЕ</w:t>
      </w:r>
      <w:r>
        <w:rPr>
          <w:rStyle w:val="CharStyle8"/>
          <w:b/>
          <w:bCs/>
          <w:spacing w:val="0"/>
        </w:rPr>
        <w:t>НИЕ</w:t>
      </w:r>
    </w:p>
    <w:p>
      <w:pPr>
        <w:pStyle w:val="Style3"/>
        <w:framePr w:w="1456" w:h="635" w:wrap="around" w:vAnchor="text" w:hAnchor="margin" w:x="-3887" w:y="57"/>
        <w:widowControl w:val="0"/>
        <w:keepNext w:val="0"/>
        <w:keepLines w:val="0"/>
        <w:shd w:val="clear" w:color="auto" w:fill="auto"/>
        <w:bidi w:val="0"/>
        <w:jc w:val="left"/>
        <w:spacing w:before="0" w:after="0" w:line="170" w:lineRule="exact"/>
        <w:ind w:left="140" w:right="0" w:firstLine="0"/>
      </w:pPr>
      <w:r>
        <w:rPr>
          <w:rStyle w:val="CharStyle5"/>
          <w:b/>
          <w:bCs/>
          <w:spacing w:val="0"/>
        </w:rPr>
        <w:t>по г. Москве</w:t>
      </w:r>
    </w:p>
    <w:p>
      <w:pPr>
        <w:pStyle w:val="Style6"/>
        <w:widowControl w:val="0"/>
        <w:keepNext w:val="0"/>
        <w:keepLines w:val="0"/>
        <w:shd w:val="clear" w:color="auto" w:fill="auto"/>
        <w:bidi w:val="0"/>
        <w:jc w:val="left"/>
        <w:spacing w:before="0" w:after="0" w:line="322" w:lineRule="exact"/>
        <w:ind w:left="0" w:right="380" w:firstLine="0"/>
        <w:sectPr>
          <w:type w:val="continuous"/>
          <w:pgSz w:w="11906" w:h="16838"/>
          <w:pgMar w:top="121" w:left="6008" w:right="1400" w:bottom="371" w:header="0" w:footer="3" w:gutter="0"/>
          <w:rtlGutter w:val="0"/>
          <w:cols w:space="720"/>
          <w:noEndnote/>
          <w:docGrid w:linePitch="360"/>
        </w:sectPr>
      </w:pPr>
      <w:r>
        <w:rPr>
          <w:lang w:val="ru-RU" w:eastAsia="ru-RU" w:bidi="ru-RU"/>
          <w:w w:val="100"/>
          <w:spacing w:val="0"/>
          <w:color w:val="000000"/>
          <w:position w:val="0"/>
        </w:rPr>
        <w:t>пер. 1-й Коптельский, д. 3, стр. 1,г. Москва, 129090</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81"/>
        <w:ind w:left="0" w:right="0" w:firstLine="0"/>
      </w:pPr>
      <w:r>
        <w:rPr>
          <w:rStyle w:val="CharStyle11"/>
        </w:rPr>
        <w:t xml:space="preserve">Мясницкий проезд, д.4, стр. 1 107078, г. Москва, тел. (495) 784-75-05, факс (495) 607-49-29 факс (495) 607-42-92, </w:t>
      </w:r>
      <w:r>
        <w:rPr>
          <w:rStyle w:val="CharStyle12"/>
        </w:rPr>
        <w:t>e-mail: to77@,fas.gov.ru</w:t>
      </w:r>
    </w:p>
    <w:p>
      <w:pPr>
        <w:pStyle w:val="Style13"/>
        <w:widowControl w:val="0"/>
        <w:keepNext w:val="0"/>
        <w:keepLines w:val="0"/>
        <w:shd w:val="clear" w:color="auto" w:fill="auto"/>
        <w:bidi w:val="0"/>
        <w:spacing w:before="0" w:after="0" w:line="170" w:lineRule="exact"/>
        <w:ind w:left="0" w:right="0" w:firstLine="0"/>
      </w:pPr>
      <w:r>
        <w:rPr>
          <w:rStyle w:val="CharStyle15"/>
        </w:rPr>
        <w:t>№</w:t>
      </w:r>
    </w:p>
    <w:p>
      <w:pPr>
        <w:pStyle w:val="Style6"/>
        <w:widowControl w:val="0"/>
        <w:keepNext w:val="0"/>
        <w:keepLines w:val="0"/>
        <w:shd w:val="clear" w:color="auto" w:fill="auto"/>
        <w:bidi w:val="0"/>
        <w:jc w:val="both"/>
        <w:spacing w:before="0" w:after="303" w:line="260" w:lineRule="exact"/>
        <w:ind w:left="0" w:right="0" w:firstLine="0"/>
      </w:pPr>
      <w:r>
        <w:rPr>
          <w:lang w:val="ru-RU" w:eastAsia="ru-RU" w:bidi="ru-RU"/>
          <w:w w:val="100"/>
          <w:spacing w:val="0"/>
          <w:color w:val="000000"/>
          <w:position w:val="0"/>
        </w:rPr>
        <w:t>ООО «Техномонтаж»</w:t>
      </w:r>
    </w:p>
    <w:p>
      <w:pPr>
        <w:pStyle w:val="Style6"/>
        <w:widowControl w:val="0"/>
        <w:keepNext w:val="0"/>
        <w:keepLines w:val="0"/>
        <w:shd w:val="clear" w:color="auto" w:fill="auto"/>
        <w:bidi w:val="0"/>
        <w:jc w:val="both"/>
        <w:spacing w:before="0" w:after="0" w:line="322" w:lineRule="exact"/>
        <w:ind w:left="0" w:right="0" w:firstLine="0"/>
        <w:sectPr>
          <w:type w:val="continuous"/>
          <w:pgSz w:w="11906" w:h="16838"/>
          <w:pgMar w:top="121" w:left="935" w:right="1261" w:bottom="371" w:header="0" w:footer="3" w:gutter="0"/>
          <w:rtlGutter w:val="0"/>
          <w:cols w:num="2" w:space="720" w:equalWidth="0">
            <w:col w:w="3715" w:space="1363"/>
            <w:col w:w="4632"/>
          </w:cols>
          <w:noEndnote/>
          <w:docGrid w:linePitch="360"/>
        </w:sectPr>
      </w:pPr>
      <w:r>
        <w:rPr>
          <w:lang w:val="ru-RU" w:eastAsia="ru-RU" w:bidi="ru-RU"/>
          <w:w w:val="100"/>
          <w:spacing w:val="0"/>
          <w:color w:val="000000"/>
          <w:position w:val="0"/>
        </w:rPr>
        <w:t>ш. Дмитровское, д. 71Б, эт. 2, комн. 21, оф. 48, г. Москва, 127238</w:t>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17"/>
          <w:spacing w:val="0"/>
        </w:rPr>
        <w:t>от</w:t>
      </w:r>
    </w:p>
    <w:p>
      <w:pPr>
        <w:pStyle w:val="Style18"/>
        <w:widowControl w:val="0"/>
        <w:keepNext w:val="0"/>
        <w:keepLines w:val="0"/>
        <w:shd w:val="clear" w:color="auto" w:fill="auto"/>
        <w:bidi w:val="0"/>
        <w:jc w:val="left"/>
        <w:spacing w:before="0" w:after="0" w:line="170" w:lineRule="exact"/>
        <w:ind w:left="0" w:right="0" w:firstLine="0"/>
        <w:sectPr>
          <w:type w:val="continuous"/>
          <w:pgSz w:w="11906" w:h="16838"/>
          <w:pgMar w:top="121" w:left="743" w:right="10525" w:bottom="371" w:header="0" w:footer="3" w:gutter="0"/>
          <w:rtlGutter w:val="0"/>
          <w:cols w:space="720"/>
          <w:noEndnote/>
          <w:docGrid w:linePitch="360"/>
        </w:sectPr>
      </w:pPr>
      <w:r>
        <w:rPr>
          <w:rStyle w:val="CharStyle20"/>
        </w:rPr>
        <w:t>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310" w:wrap="around" w:vAnchor="text" w:hAnchor="margin" w:x="-2212" w:y="1"/>
        <w:widowControl w:val="0"/>
        <w:keepNext w:val="0"/>
        <w:keepLines w:val="0"/>
        <w:shd w:val="clear" w:color="auto" w:fill="auto"/>
        <w:bidi w:val="0"/>
        <w:jc w:val="left"/>
        <w:spacing w:before="0" w:after="0" w:line="280" w:lineRule="exact"/>
        <w:ind w:left="0" w:right="0" w:firstLine="0"/>
      </w:pPr>
      <w:r>
        <w:rPr>
          <w:rStyle w:val="CharStyle23"/>
        </w:rPr>
        <w:t>Г</w:t>
      </w:r>
    </w:p>
    <w:p>
      <w:pPr>
        <w:pStyle w:val="Style24"/>
        <w:widowControl w:val="0"/>
        <w:keepNext w:val="0"/>
        <w:keepLines w:val="0"/>
        <w:shd w:val="clear" w:color="auto" w:fill="auto"/>
        <w:bidi w:val="0"/>
        <w:jc w:val="left"/>
        <w:spacing w:before="0" w:after="302" w:line="540" w:lineRule="exact"/>
        <w:ind w:left="1580" w:right="0" w:firstLine="0"/>
      </w:pPr>
      <w:r>
        <w:rPr>
          <w:rStyle w:val="CharStyle26"/>
        </w:rPr>
        <w:t>п</w:t>
      </w:r>
    </w:p>
    <w:p>
      <w:pPr>
        <w:pStyle w:val="Style27"/>
        <w:widowControl w:val="0"/>
        <w:keepNext w:val="0"/>
        <w:keepLines w:val="0"/>
        <w:shd w:val="clear" w:color="auto" w:fill="auto"/>
        <w:bidi w:val="0"/>
        <w:spacing w:before="0" w:after="0"/>
        <w:ind w:left="0" w:right="0" w:firstLine="0"/>
        <w:sectPr>
          <w:type w:val="continuous"/>
          <w:pgSz w:w="11906" w:h="16838"/>
          <w:pgMar w:top="121" w:left="2946" w:right="3004" w:bottom="371" w:header="0" w:footer="3" w:gutter="0"/>
          <w:rtlGutter w:val="0"/>
          <w:cols w:space="720"/>
          <w:noEndnote/>
          <w:docGrid w:linePitch="360"/>
        </w:sectPr>
      </w:pPr>
      <w:r>
        <w:rPr>
          <w:lang w:val="ru-RU" w:eastAsia="ru-RU" w:bidi="ru-RU"/>
          <w:w w:val="100"/>
          <w:spacing w:val="0"/>
          <w:color w:val="000000"/>
          <w:position w:val="0"/>
        </w:rPr>
        <w:t>РЕШЕНИЕ по делу №077/06/106-18919/2021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framePr w:h="240" w:wrap="around" w:vAnchor="text" w:hAnchor="margin" w:x="8870" w:y="6"/>
        <w:widowControl w:val="0"/>
        <w:keepNext w:val="0"/>
        <w:keepLines w:val="0"/>
        <w:shd w:val="clear" w:color="auto" w:fill="auto"/>
        <w:bidi w:val="0"/>
        <w:jc w:val="left"/>
        <w:spacing w:before="0" w:after="0" w:line="240" w:lineRule="exact"/>
        <w:ind w:left="100" w:right="0" w:firstLine="0"/>
      </w:pPr>
      <w:r>
        <w:rPr>
          <w:rStyle w:val="CharStyle29"/>
          <w:b/>
          <w:bCs/>
          <w:spacing w:val="0"/>
        </w:rPr>
        <w:t>г. Москва</w:t>
      </w:r>
    </w:p>
    <w:p>
      <w:pPr>
        <w:pStyle w:val="Style30"/>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22.10.2021</w:t>
      </w:r>
      <w:bookmarkEnd w:id="0"/>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6"/>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Э.З. Гугава,</w:t>
      </w:r>
    </w:p>
    <w:p>
      <w:pPr>
        <w:pStyle w:val="Style6"/>
        <w:tabs>
          <w:tab w:leader="none" w:pos="577"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6"/>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представители ГБУ «ССиНМП им. А.С. Пучкова» ДЗМ, ООО «Техномонтаж» участвовали посредством видеоконференцсвязи,</w:t>
      </w:r>
    </w:p>
    <w:p>
      <w:pPr>
        <w:pStyle w:val="Style6"/>
        <w:widowControl w:val="0"/>
        <w:keepNext w:val="0"/>
        <w:keepLines w:val="0"/>
        <w:shd w:val="clear" w:color="auto" w:fill="auto"/>
        <w:bidi w:val="0"/>
        <w:jc w:val="both"/>
        <w:spacing w:before="0" w:after="236" w:line="322" w:lineRule="exact"/>
        <w:ind w:left="20" w:right="20" w:firstLine="680"/>
      </w:pPr>
      <w:r>
        <w:rPr>
          <w:lang w:val="ru-RU" w:eastAsia="ru-RU" w:bidi="ru-RU"/>
          <w:w w:val="100"/>
          <w:spacing w:val="0"/>
          <w:color w:val="000000"/>
          <w:position w:val="0"/>
        </w:rPr>
        <w:t>рассмотрев жалобу ООО «Техномонтаж» (далее — Заявитель) действия ГБУ «ССиНМП им. А.С. Пучкова» ДЗМ (далее — Заказчик) при проведении электронного аукциона на право заключения государственного контракта на выполнение работ по ремонту текущих административных зданий. Текущий ремонт структурных подразделений СС и НМП им. А.С. Пучкова (подстанции 2, 6,10, 43, 49 (гараж)). (Закупка № 0373200000621000271)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w:t>
      </w:r>
    </w:p>
    <w:p>
      <w:pPr>
        <w:pStyle w:val="Style32"/>
        <w:widowControl w:val="0"/>
        <w:keepNext w:val="0"/>
        <w:keepLines w:val="0"/>
        <w:shd w:val="clear" w:color="auto" w:fill="auto"/>
        <w:bidi w:val="0"/>
        <w:jc w:val="left"/>
        <w:spacing w:before="0" w:after="0" w:line="240" w:lineRule="auto"/>
        <w:ind w:left="0" w:right="0" w:firstLine="0"/>
        <w:sectPr>
          <w:type w:val="continuous"/>
          <w:pgSz w:w="11906" w:h="16838"/>
          <w:pgMar w:top="121" w:left="704" w:right="987" w:bottom="371" w:header="0" w:footer="3" w:gutter="0"/>
          <w:rtlGutter w:val="0"/>
          <w:cols w:space="720"/>
          <w:noEndnote/>
          <w:docGrid w:linePitch="360"/>
        </w:sectPr>
      </w:pPr>
      <w:r>
        <w:rPr>
          <w:w w:val="100"/>
          <w:spacing w:val="0"/>
          <w:color w:val="000000"/>
          <w:position w:val="0"/>
        </w:rPr>
        <w:t>001994906512</w:t>
      </w:r>
    </w:p>
    <w:p>
      <w:pPr>
        <w:pStyle w:val="Style6"/>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4"/>
        <w:widowControl w:val="0"/>
        <w:keepNext/>
        <w:keepLines/>
        <w:shd w:val="clear" w:color="auto" w:fill="auto"/>
        <w:bidi w:val="0"/>
        <w:spacing w:before="0" w:after="308" w:line="260" w:lineRule="exact"/>
        <w:ind w:left="0" w:right="0" w:firstLine="0"/>
      </w:pPr>
      <w:bookmarkStart w:id="1" w:name="bookmark1"/>
      <w:r>
        <w:rPr>
          <w:lang w:val="ru-RU" w:eastAsia="ru-RU" w:bidi="ru-RU"/>
          <w:w w:val="100"/>
          <w:spacing w:val="0"/>
          <w:color w:val="000000"/>
          <w:position w:val="0"/>
        </w:rPr>
        <w:t>УСТАНОВИЛА:</w:t>
      </w:r>
      <w:bookmarkEnd w:id="1"/>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20.10.2021 №ЕИ/64447/21.</w:t>
      </w:r>
    </w:p>
    <w:p>
      <w:pPr>
        <w:pStyle w:val="Style6"/>
        <w:numPr>
          <w:ilvl w:val="0"/>
          <w:numId w:val="1"/>
        </w:numPr>
        <w:tabs>
          <w:tab w:leader="none" w:pos="1201"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своей жалобе Заявитель указывает, что в техническом задании аукционной документации указаны неправомерные требования к исполнителю контракта о представлении по завершению работ платежных документов на приобретенные материалы по прайс-листам.</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 мнению Заявителя, указанное требование является неправомерным, поскольку ограничивает исполнителя тем, что поставляемый при выполнении работ товар должен приобретаться исполнителем исключительно по ценам, установленным в Приложении к документации электронного аукциона.</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техническим заданием аукционной документации указано, в том числе, следующее требование: «Подрядчик по завершению работ (этапа работ) по Контракту, одновременно с актом сдачи-приемки выполнененных работ предоставляет Заказчику следующую документацию: КС-6а (с разбивкой по помещениям), КС-2 (с разбивкой по помещениям) и КС-3 в базе СН - 2012, Подрядчик должен представить и сдать Заказчику по акту исполнительную документацию, в состав которой входят:</w:t>
      </w:r>
    </w:p>
    <w:p>
      <w:pPr>
        <w:pStyle w:val="Style6"/>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исполнительные чертежи (схемы) и фотоматериалы в электронном и распечатанном виде (формат А4), с указанием номера помещения структурного подразделения СС и НМП им.А.С. Пучкова, оформленные в соответствии с условиями Технического задания;</w:t>
      </w:r>
    </w:p>
    <w:p>
      <w:pPr>
        <w:pStyle w:val="Style6"/>
        <w:numPr>
          <w:ilvl w:val="0"/>
          <w:numId w:val="3"/>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акты освидетельствования скрытых работ;</w:t>
      </w:r>
    </w:p>
    <w:p>
      <w:pPr>
        <w:pStyle w:val="Style6"/>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сертификаты на материалы, изделия и оборудование (заверенные копии), предусмотренные действующими нормативами;</w:t>
      </w:r>
    </w:p>
    <w:p>
      <w:pPr>
        <w:pStyle w:val="Style6"/>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w:t>
      </w:r>
      <w:r>
        <w:rPr>
          <w:rStyle w:val="CharStyle36"/>
        </w:rPr>
        <w:t>платежные документы на материалы, изделия и оборудование (оригиналы или заверенные копии) приобретаемые Исполнителем по цене принятой по прайс- листам,</w:t>
      </w:r>
      <w:r>
        <w:rPr>
          <w:lang w:val="ru-RU" w:eastAsia="ru-RU" w:bidi="ru-RU"/>
          <w:w w:val="100"/>
          <w:spacing w:val="0"/>
          <w:color w:val="000000"/>
          <w:position w:val="0"/>
        </w:rPr>
        <w:t xml:space="preserve"> ввиду отсутствия в ценниках сборника СН-2012 (приложения к Локальным сметам - Конъюнктурный анализ наиболее экономичного решения, для позиций принятых по прайс-листам, ввиду отсутствия в ценниках сборника СН-2012)».</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оспариваемое положение технического задания аукционной документации указывает исключительно на необходимость предоставлении платежных документов, а не устанавливает требование к исполнителю контракта о приобретении материалов по каким-то заранее определенным ценам.</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Комиссия Управления отмечает, что из формулировки обжалуемой позиции технического задания не следует необходимость исполнителя контракта закупать материалы по определенным Заказчиком ценам, ввиду чего у Комиссии Управления отсутствуют правовые основания считать заказчика нарушившим положения закона о контрактной системе.</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и Заявителя, Комиссия Управления приходит к выводу, что довод жалобы Заявителя не нашел своего подтверждения и является необоснованным.</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2. В составе жалобы Заявитель также обжалует дачу Заказчиком разъяснений положений аукционной документации не по существу запроса.</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ст.65 Закона о контрактной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ч.5 ст.65 Закона о контрактной системе разъяснения положений документации об электронном аукционе не должны изменять ее суть.</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ч.6 ст.65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ч.2 ст.63 Закона о контрактной системе, не менее чем семь дней.</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Заказчиком даны следующие разъяснения положений аукционной документации от 15.10.2021 №РД1:</w:t>
      </w:r>
    </w:p>
    <w:p>
      <w:pPr>
        <w:pStyle w:val="Style6"/>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«ТЕКСТ ЗАПРОСА:</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Уважаемый заказчик! Согласно аукционной документации в состав исполнительной документации, предоставляемой подрядчиком по завершении работ, входят в том числе:</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платежные документы на материалы, изделия и оборудование (оригиналы или заверенные копии) </w:t>
      </w:r>
      <w:r>
        <w:rPr>
          <w:rStyle w:val="CharStyle37"/>
        </w:rPr>
        <w:t>приобретаемые Исполнителем по цене принятой по прайс-листам</w:t>
      </w:r>
      <w:r>
        <w:rPr>
          <w:lang w:val="ru-RU" w:eastAsia="ru-RU" w:bidi="ru-RU"/>
          <w:w w:val="100"/>
          <w:spacing w:val="0"/>
          <w:color w:val="000000"/>
          <w:position w:val="0"/>
        </w:rPr>
        <w:t>, ввиду отсутствия в ценниках сборника СН-2012 (приложения к Локальным сметам - Конъюнктурный анализ наиболее экономичного решения, для позиций принятых по прайс-листам, ввиду отсутствия в ценниках сборника СН- 2012).</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Просим вас разъяснить подробно требования данного пункта, и указать, что подразумевает фраза, выделенная жирным выше.</w:t>
      </w:r>
    </w:p>
    <w:p>
      <w:pPr>
        <w:pStyle w:val="Style6"/>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Ответ:</w:t>
      </w:r>
    </w:p>
    <w:p>
      <w:pPr>
        <w:pStyle w:val="Style6"/>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аукционной документации прикреплен файл «Приложения к Техническому заданию», который содержит файл «Прил1,2,3,4, КА к ТЗ СметаДефАкт и Ведомость49 Гараж, 43, 10, 2, 6», в составе которого представлено приложение к Локальной смете «Расчет стоимости материалов и технологического оборудования с использованием метода анализа рыночной стоимости закупаемых товаров, работ, услуг» - Конъюнктурный анализ, содержащее перечень позиций к которым применяется требование Технического задания по предоставлению платежных документов на материалы, изделия и оборудование (оригиналы или заверенные копии) приобретаемые Исполнителем по цене принятой по прайс- листам, ввиду отсутствия в ценниках сборника СН-2012 (приложения к Локальным сметам - Конъюнктурный анализ наиболее экономичного решения, для позиций принятых по прайс-листам, ввиду отсутствия в ценниках сборника СН-2012).</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составе исполнительной документации по вышеуказанным позициям требуется предоставление первичной отчетной документации (оригиналы или заверенные копии), на соответствующие позиции».</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этим Комиссией Управления отмечает, что в вышеуказанном ответе Заказчик представляет более развернутую, полную трактовку спорной позиции технического задания, указание на которую присутствует в теске запроса, что, по мнению Комиссии Управления, является надлежащим исполнением требований ч.4 ст.65 Закона о контрактной системе.</w:t>
      </w:r>
    </w:p>
    <w:p>
      <w:pPr>
        <w:pStyle w:val="Style6"/>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и Заявителя, Комиссия Управления приходит к выводу, что довод жалобы Заявителя не нашел своего подтверждения и является необоснованным.</w:t>
      </w:r>
    </w:p>
    <w:p>
      <w:pPr>
        <w:pStyle w:val="Style6"/>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4"/>
        <w:widowControl w:val="0"/>
        <w:keepNext/>
        <w:keepLines/>
        <w:shd w:val="clear" w:color="auto" w:fill="auto"/>
        <w:bidi w:val="0"/>
        <w:spacing w:before="0" w:after="303" w:line="260" w:lineRule="exact"/>
        <w:ind w:left="20" w:right="0" w:firstLine="0"/>
      </w:pPr>
      <w:bookmarkStart w:id="2" w:name="bookmark2"/>
      <w:r>
        <w:rPr>
          <w:lang w:val="ru-RU" w:eastAsia="ru-RU" w:bidi="ru-RU"/>
          <w:w w:val="100"/>
          <w:spacing w:val="0"/>
          <w:color w:val="000000"/>
          <w:position w:val="0"/>
        </w:rPr>
        <w:t>Р Е Ш И Л А:</w:t>
      </w:r>
      <w:bookmarkEnd w:id="2"/>
    </w:p>
    <w:p>
      <w:pPr>
        <w:pStyle w:val="Style6"/>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жалобу ООО «Техномонтаж» на действия БУ «ССиНМП им. А.С. Пучкова» ДЗМ необоснованной.</w:t>
      </w:r>
    </w:p>
    <w:p>
      <w:pPr>
        <w:pStyle w:val="Style6"/>
        <w:numPr>
          <w:ilvl w:val="0"/>
          <w:numId w:val="5"/>
        </w:numPr>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ЕИ/64447/21 от 20.10.2021.</w:t>
      </w:r>
    </w:p>
    <w:p>
      <w:pPr>
        <w:pStyle w:val="Style6"/>
        <w:widowControl w:val="0"/>
        <w:keepNext w:val="0"/>
        <w:keepLines w:val="0"/>
        <w:shd w:val="clear" w:color="auto" w:fill="auto"/>
        <w:bidi w:val="0"/>
        <w:jc w:val="both"/>
        <w:spacing w:before="0" w:after="47"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установленном гл. 24 АПК РФ.</w:t>
      </w:r>
    </w:p>
    <w:p>
      <w:pPr>
        <w:pStyle w:val="Style6"/>
        <w:tabs>
          <w:tab w:leader="none" w:pos="10146" w:val="right"/>
          <w:tab w:leader="none" w:pos="10124"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6"/>
        <w:tabs>
          <w:tab w:leader="none" w:pos="9286" w:val="right"/>
          <w:tab w:leader="none" w:pos="1014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Э.З.</w:t>
        <w:tab/>
        <w:t>Гугава</w:t>
      </w:r>
    </w:p>
    <w:p>
      <w:pPr>
        <w:pStyle w:val="Style6"/>
        <w:widowControl w:val="0"/>
        <w:keepNext w:val="0"/>
        <w:keepLines w:val="0"/>
        <w:shd w:val="clear" w:color="auto" w:fill="auto"/>
        <w:bidi w:val="0"/>
        <w:jc w:val="right"/>
        <w:spacing w:before="0" w:after="2511" w:line="638" w:lineRule="exact"/>
        <w:ind w:left="0" w:right="20" w:firstLine="0"/>
      </w:pPr>
      <w:r>
        <w:rPr>
          <w:lang w:val="ru-RU" w:eastAsia="ru-RU" w:bidi="ru-RU"/>
          <w:w w:val="100"/>
          <w:spacing w:val="0"/>
          <w:color w:val="000000"/>
          <w:position w:val="0"/>
        </w:rPr>
        <w:t>А.А. Матюшенко</w:t>
      </w:r>
    </w:p>
    <w:p>
      <w:pPr>
        <w:pStyle w:val="Style38"/>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 Матюшенко А.А., 8(495) 784-75-05</w:t>
      </w:r>
    </w:p>
    <w:sectPr>
      <w:pgSz w:w="11906" w:h="16838"/>
      <w:pgMar w:top="1259" w:left="847" w:right="834" w:bottom="11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 Exact"/>
    <w:basedOn w:val="CharStyle4"/>
    <w:rPr>
      <w:lang w:val="ru-RU" w:eastAsia="ru-RU" w:bidi="ru-RU"/>
      <w:u w:val="single"/>
      <w:w w:val="10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7"/>
      <w:szCs w:val="17"/>
      <w:rFonts w:ascii="Tahoma" w:eastAsia="Tahoma" w:hAnsi="Tahoma" w:cs="Tahoma"/>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7">
    <w:name w:val="Основной текст (3) Exact"/>
    <w:basedOn w:val="CharStyle10"/>
    <w:rPr>
      <w:lang w:val="ru-RU" w:eastAsia="ru-RU" w:bidi="ru-RU"/>
      <w:sz w:val="16"/>
      <w:szCs w:val="16"/>
      <w:w w:val="100"/>
      <w:spacing w:val="3"/>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0">
    <w:name w:val="Основной текст (5)"/>
    <w:basedOn w:val="CharStyle19"/>
    <w:rPr>
      <w:lang w:val="ru-RU" w:eastAsia="ru-RU" w:bidi="ru-RU"/>
      <w:w w:val="100"/>
      <w:color w:val="000000"/>
      <w:position w:val="0"/>
    </w:rPr>
  </w:style>
  <w:style w:type="character" w:customStyle="1" w:styleId="CharStyle22">
    <w:name w:val="Основной текст (8) Exact"/>
    <w:basedOn w:val="DefaultParagraphFont"/>
    <w:link w:val="Style21"/>
    <w:rPr>
      <w:b w:val="0"/>
      <w:bCs w:val="0"/>
      <w:i w:val="0"/>
      <w:iCs w:val="0"/>
      <w:u w:val="none"/>
      <w:strike w:val="0"/>
      <w:smallCaps w:val="0"/>
      <w:sz w:val="28"/>
      <w:szCs w:val="28"/>
      <w:rFonts w:ascii="Tahoma" w:eastAsia="Tahoma" w:hAnsi="Tahoma" w:cs="Tahoma"/>
      <w:w w:val="200"/>
    </w:rPr>
  </w:style>
  <w:style w:type="character" w:customStyle="1" w:styleId="CharStyle23">
    <w:name w:val="Основной текст (8) Exact"/>
    <w:basedOn w:val="CharStyle22"/>
    <w:rPr>
      <w:lang w:val="ru-RU" w:eastAsia="ru-RU" w:bidi="ru-RU"/>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54"/>
      <w:szCs w:val="54"/>
      <w:rFonts w:ascii="Times New Roman" w:eastAsia="Times New Roman" w:hAnsi="Times New Roman" w:cs="Times New Roman"/>
    </w:rPr>
  </w:style>
  <w:style w:type="character" w:customStyle="1" w:styleId="CharStyle26">
    <w:name w:val="Основной текст (6)"/>
    <w:basedOn w:val="CharStyle25"/>
    <w:rPr>
      <w:lang w:val="ru-RU" w:eastAsia="ru-RU" w:bidi="ru-RU"/>
      <w:w w:val="100"/>
      <w:spacing w:val="0"/>
      <w:color w:val="000000"/>
      <w:position w:val="0"/>
    </w:rPr>
  </w:style>
  <w:style w:type="character" w:customStyle="1" w:styleId="CharStyle28">
    <w:name w:val="Основной текст (7)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1">
    <w:name w:val="Заголовок №1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3">
    <w:name w:val="Штрих-код (2)_"/>
    <w:basedOn w:val="DefaultParagraphFont"/>
    <w:link w:val="Style3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5">
    <w:name w:val="Заголовок №2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 Курсив"/>
    <w:basedOn w:val="CharStyle7"/>
    <w:rPr>
      <w:lang w:val="ru-RU" w:eastAsia="ru-RU" w:bidi="ru-RU"/>
      <w:i/>
      <w:iCs/>
      <w:w w:val="100"/>
      <w:spacing w:val="0"/>
      <w:color w:val="000000"/>
      <w:position w:val="0"/>
    </w:rPr>
  </w:style>
  <w:style w:type="character" w:customStyle="1" w:styleId="CharStyle37">
    <w:name w:val="Основной текст + Полужирный"/>
    <w:basedOn w:val="CharStyle7"/>
    <w:rPr>
      <w:lang w:val="ru-RU" w:eastAsia="ru-RU" w:bidi="ru-RU"/>
      <w:b/>
      <w:bCs/>
      <w:w w:val="100"/>
      <w:spacing w:val="0"/>
      <w:color w:val="000000"/>
      <w:position w:val="0"/>
    </w:rPr>
  </w:style>
  <w:style w:type="character" w:customStyle="1" w:styleId="CharStyle39">
    <w:name w:val="Основной текст (9)_"/>
    <w:basedOn w:val="DefaultParagraphFont"/>
    <w:link w:val="Style38"/>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6">
    <w:name w:val="Основной текст"/>
    <w:basedOn w:val="Normal"/>
    <w:link w:val="CharStyle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240" w:line="0" w:lineRule="exact"/>
    </w:pPr>
    <w:rPr>
      <w:b w:val="0"/>
      <w:bCs w:val="0"/>
      <w:i w:val="0"/>
      <w:iCs w:val="0"/>
      <w:u w:val="none"/>
      <w:strike w:val="0"/>
      <w:smallCaps w:val="0"/>
      <w:sz w:val="17"/>
      <w:szCs w:val="17"/>
      <w:rFonts w:ascii="Tahoma" w:eastAsia="Tahoma" w:hAnsi="Tahoma" w:cs="Tahoma"/>
    </w:rPr>
  </w:style>
  <w:style w:type="paragraph" w:customStyle="1" w:styleId="Style18">
    <w:name w:val="Основной текст (5)"/>
    <w:basedOn w:val="Normal"/>
    <w:link w:val="CharStyle1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1">
    <w:name w:val="Основной текст (8)"/>
    <w:basedOn w:val="Normal"/>
    <w:link w:val="CharStyle22"/>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4">
    <w:name w:val="Основной текст (6)"/>
    <w:basedOn w:val="Normal"/>
    <w:link w:val="CharStyle25"/>
    <w:pPr>
      <w:widowControl w:val="0"/>
      <w:shd w:val="clear" w:color="auto" w:fill="FFFFFF"/>
      <w:spacing w:after="4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center"/>
      <w:spacing w:before="4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both"/>
      <w:outlineLvl w:val="0"/>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2">
    <w:name w:val="Штрих-код (2)"/>
    <w:basedOn w:val="Normal"/>
    <w:link w:val="CharStyle3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2"/>
    <w:basedOn w:val="Normal"/>
    <w:link w:val="CharStyle35"/>
    <w:pPr>
      <w:widowControl w:val="0"/>
      <w:shd w:val="clear" w:color="auto" w:fill="FFFFFF"/>
      <w:jc w:val="center"/>
      <w:outlineLvl w:val="1"/>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jc w:val="both"/>
      <w:spacing w:before="21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