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40"/>
        <w:ind w:left="5340" w:right="840" w:firstLine="0"/>
      </w:pPr>
      <w:r>
        <w:rPr>
          <w:lang w:val="ru-RU" w:eastAsia="ru-RU" w:bidi="ru-RU"/>
          <w:w w:val="100"/>
          <w:spacing w:val="0"/>
          <w:color w:val="000000"/>
          <w:position w:val="0"/>
        </w:rPr>
        <w:t xml:space="preserve">ООО «ЙОДОБРОМ» пр-кт. Маяковского, д. 6, кв. 51, г. Краснокамск, 617060, </w:t>
      </w:r>
      <w:r>
        <w:rPr>
          <w:lang w:val="en-US" w:eastAsia="en-US" w:bidi="en-US"/>
          <w:w w:val="100"/>
          <w:spacing w:val="0"/>
          <w:color w:val="000000"/>
          <w:position w:val="0"/>
        </w:rPr>
        <w:t xml:space="preserve">brom@lotmail </w:t>
      </w:r>
      <w:r>
        <w:rPr>
          <w:lang w:val="ru-RU" w:eastAsia="ru-RU" w:bidi="ru-RU"/>
          <w:w w:val="100"/>
          <w:spacing w:val="0"/>
          <w:color w:val="000000"/>
          <w:position w:val="0"/>
        </w:rPr>
        <w:t>.</w:t>
      </w:r>
      <w:r>
        <w:rPr>
          <w:rStyle w:val="CharStyle7"/>
        </w:rPr>
        <w:t>га</w:t>
      </w:r>
    </w:p>
    <w:p>
      <w:pPr>
        <w:pStyle w:val="Style5"/>
        <w:widowControl w:val="0"/>
        <w:keepNext w:val="0"/>
        <w:keepLines w:val="0"/>
        <w:shd w:val="clear" w:color="auto" w:fill="auto"/>
        <w:bidi w:val="0"/>
        <w:jc w:val="left"/>
        <w:spacing w:before="0" w:after="0"/>
        <w:ind w:left="5340" w:right="240" w:firstLine="0"/>
      </w:pPr>
      <w:r>
        <w:rPr>
          <w:lang w:val="ru-RU" w:eastAsia="ru-RU" w:bidi="ru-RU"/>
          <w:w w:val="100"/>
          <w:spacing w:val="0"/>
          <w:color w:val="000000"/>
          <w:position w:val="0"/>
        </w:rPr>
        <w:t>ФКУЗ "Медико-санитарная часть МВД РФ по г. Москве"</w:t>
      </w:r>
    </w:p>
    <w:p>
      <w:pPr>
        <w:pStyle w:val="Style5"/>
        <w:widowControl w:val="0"/>
        <w:keepNext w:val="0"/>
        <w:keepLines w:val="0"/>
        <w:shd w:val="clear" w:color="auto" w:fill="auto"/>
        <w:bidi w:val="0"/>
        <w:jc w:val="left"/>
        <w:spacing w:before="0" w:after="236"/>
        <w:ind w:left="5340" w:right="240" w:firstLine="0"/>
      </w:pPr>
      <w:r>
        <w:rPr>
          <w:lang w:val="ru-RU" w:eastAsia="ru-RU" w:bidi="ru-RU"/>
          <w:w w:val="100"/>
          <w:spacing w:val="0"/>
          <w:color w:val="000000"/>
          <w:position w:val="0"/>
        </w:rPr>
        <w:t xml:space="preserve">ул. Петровка, д. 38, г. Москва, 127994, </w:t>
      </w:r>
      <w:r>
        <w:fldChar w:fldCharType="begin"/>
      </w:r>
      <w:r>
        <w:rPr>
          <w:color w:val="000000"/>
        </w:rPr>
        <w:instrText> HYPERLINK "mailto:kg.zakupki@gmail.com" </w:instrText>
      </w:r>
      <w:r>
        <w:fldChar w:fldCharType="separate"/>
      </w:r>
      <w:r>
        <w:rPr>
          <w:rStyle w:val="Hyperlink"/>
          <w:lang w:val="en-US" w:eastAsia="en-US" w:bidi="en-US"/>
          <w:w w:val="100"/>
          <w:spacing w:val="0"/>
          <w:position w:val="0"/>
        </w:rPr>
        <w:t>kg.zakupki@gmail.com</w:t>
      </w:r>
      <w:r>
        <w:fldChar w:fldCharType="end"/>
      </w:r>
    </w:p>
    <w:p>
      <w:pPr>
        <w:pStyle w:val="Style5"/>
        <w:widowControl w:val="0"/>
        <w:keepNext w:val="0"/>
        <w:keepLines w:val="0"/>
        <w:shd w:val="clear" w:color="auto" w:fill="auto"/>
        <w:bidi w:val="0"/>
        <w:jc w:val="left"/>
        <w:spacing w:before="0" w:after="0" w:line="326" w:lineRule="exact"/>
        <w:ind w:left="5340" w:right="840" w:firstLine="0"/>
      </w:pPr>
      <w:r>
        <w:rPr>
          <w:lang w:val="ru-RU" w:eastAsia="ru-RU" w:bidi="ru-RU"/>
          <w:w w:val="100"/>
          <w:spacing w:val="0"/>
          <w:color w:val="000000"/>
          <w:position w:val="0"/>
        </w:rPr>
        <w:t>АО «Единая электронная торговая площадка»</w:t>
      </w:r>
    </w:p>
    <w:p>
      <w:pPr>
        <w:pStyle w:val="Style5"/>
        <w:widowControl w:val="0"/>
        <w:keepNext w:val="0"/>
        <w:keepLines w:val="0"/>
        <w:shd w:val="clear" w:color="auto" w:fill="auto"/>
        <w:bidi w:val="0"/>
        <w:jc w:val="left"/>
        <w:spacing w:before="0" w:after="1129"/>
        <w:ind w:left="5340" w:right="1580" w:firstLine="0"/>
      </w:pPr>
      <w:r>
        <w:rPr>
          <w:lang w:val="ru-RU" w:eastAsia="ru-RU" w:bidi="ru-RU"/>
          <w:w w:val="100"/>
          <w:spacing w:val="0"/>
          <w:color w:val="000000"/>
          <w:position w:val="0"/>
        </w:rPr>
        <w:t xml:space="preserve">115114, город Москва, ул. Кожевническая, д. 14, стр. 5 </w:t>
      </w:r>
      <w:r>
        <w:fldChar w:fldCharType="begin"/>
      </w:r>
      <w:r>
        <w:rPr>
          <w:color w:val="000000"/>
        </w:rPr>
        <w:instrText> HYPERLINK "mailto:ko@roseltorg.ru" </w:instrText>
      </w:r>
      <w:r>
        <w:fldChar w:fldCharType="separate"/>
      </w:r>
      <w:r>
        <w:rPr>
          <w:rStyle w:val="Hyperlink"/>
          <w:lang w:val="en-US" w:eastAsia="en-US" w:bidi="en-US"/>
          <w:w w:val="100"/>
          <w:spacing w:val="0"/>
          <w:position w:val="0"/>
        </w:rPr>
        <w:t>ko@roseltorg.ru</w:t>
      </w:r>
      <w:r>
        <w:fldChar w:fldCharType="end"/>
      </w:r>
    </w:p>
    <w:p>
      <w:pPr>
        <w:pStyle w:val="Style8"/>
        <w:widowControl w:val="0"/>
        <w:keepNext w:val="0"/>
        <w:keepLines w:val="0"/>
        <w:shd w:val="clear" w:color="auto" w:fill="auto"/>
        <w:bidi w:val="0"/>
        <w:jc w:val="left"/>
        <w:spacing w:before="0" w:after="119" w:line="260" w:lineRule="exact"/>
        <w:ind w:left="4620" w:right="0" w:firstLine="0"/>
      </w:pPr>
      <w:r>
        <w:rPr>
          <w:lang w:val="ru-RU" w:eastAsia="ru-RU" w:bidi="ru-RU"/>
          <w:w w:val="100"/>
          <w:spacing w:val="0"/>
          <w:color w:val="000000"/>
          <w:position w:val="0"/>
        </w:rPr>
        <w:t>РЕШЕНИЕ</w:t>
      </w:r>
    </w:p>
    <w:p>
      <w:pPr>
        <w:pStyle w:val="Style8"/>
        <w:widowControl w:val="0"/>
        <w:keepNext w:val="0"/>
        <w:keepLines w:val="0"/>
        <w:shd w:val="clear" w:color="auto" w:fill="auto"/>
        <w:bidi w:val="0"/>
        <w:jc w:val="left"/>
        <w:spacing w:before="0" w:after="248" w:line="326" w:lineRule="exact"/>
        <w:ind w:left="2340" w:right="1900" w:firstLine="220"/>
      </w:pPr>
      <w:r>
        <w:rPr>
          <w:lang w:val="ru-RU" w:eastAsia="ru-RU" w:bidi="ru-RU"/>
          <w:w w:val="100"/>
          <w:spacing w:val="0"/>
          <w:color w:val="000000"/>
          <w:position w:val="0"/>
        </w:rPr>
        <w:t>по делу №077/06/106-19072/2021 о нарушении законодательства о контрактной системе</w:t>
      </w:r>
    </w:p>
    <w:p>
      <w:pPr>
        <w:pStyle w:val="Style8"/>
        <w:tabs>
          <w:tab w:leader="none" w:pos="8570" w:val="right"/>
          <w:tab w:leader="none" w:pos="9141" w:val="center"/>
        </w:tabs>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27.10.2021</w:t>
        <w:tab/>
        <w:t>г.</w:t>
        <w:tab/>
        <w:t>Москва</w:t>
      </w:r>
    </w:p>
    <w:p>
      <w:pPr>
        <w:pStyle w:val="Style5"/>
        <w:widowControl w:val="0"/>
        <w:keepNext w:val="0"/>
        <w:keepLines w:val="0"/>
        <w:shd w:val="clear" w:color="auto" w:fill="auto"/>
        <w:bidi w:val="0"/>
        <w:jc w:val="both"/>
        <w:spacing w:before="0" w:after="0" w:line="317" w:lineRule="exact"/>
        <w:ind w:left="40" w:right="20" w:firstLine="74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17" w:lineRule="exact"/>
        <w:ind w:left="40" w:right="20" w:firstLine="74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Д.С. Грешневой,</w:t>
      </w:r>
    </w:p>
    <w:p>
      <w:pPr>
        <w:pStyle w:val="Style5"/>
        <w:widowControl w:val="0"/>
        <w:keepNext w:val="0"/>
        <w:keepLines w:val="0"/>
        <w:shd w:val="clear" w:color="auto" w:fill="auto"/>
        <w:bidi w:val="0"/>
        <w:jc w:val="both"/>
        <w:spacing w:before="0" w:after="0" w:line="317" w:lineRule="exact"/>
        <w:ind w:left="40" w:right="0" w:firstLine="74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17" w:lineRule="exact"/>
        <w:ind w:left="40" w:right="20" w:firstLine="74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5"/>
        <w:widowControl w:val="0"/>
        <w:keepNext w:val="0"/>
        <w:keepLines w:val="0"/>
        <w:shd w:val="clear" w:color="auto" w:fill="auto"/>
        <w:bidi w:val="0"/>
        <w:jc w:val="both"/>
        <w:spacing w:before="0" w:after="0" w:line="317" w:lineRule="exact"/>
        <w:ind w:left="40" w:right="20" w:firstLine="74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5"/>
        <w:tabs>
          <w:tab w:leader="none" w:pos="659" w:val="left"/>
        </w:tabs>
        <w:widowControl w:val="0"/>
        <w:keepNext w:val="0"/>
        <w:keepLines w:val="0"/>
        <w:shd w:val="clear" w:color="auto" w:fill="auto"/>
        <w:bidi w:val="0"/>
        <w:jc w:val="both"/>
        <w:spacing w:before="0" w:after="0" w:line="317" w:lineRule="exact"/>
        <w:ind w:left="40" w:right="20" w:firstLine="74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17"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17" w:lineRule="exact"/>
        <w:ind w:left="40" w:right="0" w:firstLine="74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17" w:lineRule="exact"/>
        <w:ind w:left="40" w:right="0" w:firstLine="740"/>
      </w:pPr>
      <w:r>
        <w:rPr>
          <w:lang w:val="ru-RU" w:eastAsia="ru-RU" w:bidi="ru-RU"/>
          <w:w w:val="100"/>
          <w:spacing w:val="0"/>
          <w:color w:val="000000"/>
          <w:position w:val="0"/>
        </w:rPr>
        <w:t>ФКУЗ «Медико-санитарная часть МВД РФ по г. Москве»:</w:t>
      </w:r>
    </w:p>
    <w:p>
      <w:pPr>
        <w:pStyle w:val="Style5"/>
        <w:tabs>
          <w:tab w:leader="none" w:pos="717" w:val="left"/>
        </w:tabs>
        <w:widowControl w:val="0"/>
        <w:keepNext w:val="0"/>
        <w:keepLines w:val="0"/>
        <w:shd w:val="clear" w:color="auto" w:fill="auto"/>
        <w:bidi w:val="0"/>
        <w:jc w:val="both"/>
        <w:spacing w:before="0" w:after="0" w:line="317" w:lineRule="exact"/>
        <w:ind w:left="40" w:right="20" w:firstLine="0"/>
      </w:pPr>
      <w:r>
        <w:rPr>
          <w:lang w:val="ru-RU" w:eastAsia="ru-RU" w:bidi="ru-RU"/>
          <w:w w:val="100"/>
          <w:spacing w:val="0"/>
          <w:color w:val="000000"/>
          <w:position w:val="0"/>
        </w:rPr>
        <w:t>А.В. Оссауленко (по дов. №18 от 22.01.2021), А.Д. Калугиной (по дов. № 7 от 12.01.2021),</w:t>
      </w:r>
    </w:p>
    <w:p>
      <w:pPr>
        <w:pStyle w:val="Style3"/>
        <w:framePr w:w="1685" w:h="394" w:wrap="around" w:vAnchor="text" w:hAnchor="margin" w:x="385" w:y="572"/>
        <w:widowControl w:val="0"/>
        <w:keepNext w:val="0"/>
        <w:keepLines w:val="0"/>
        <w:shd w:val="clear" w:color="auto" w:fill="auto"/>
        <w:bidi w:val="0"/>
        <w:jc w:val="left"/>
        <w:spacing w:before="0" w:after="0" w:line="240" w:lineRule="auto"/>
        <w:ind w:left="0" w:right="0" w:firstLine="0"/>
      </w:pPr>
      <w:r>
        <w:rPr>
          <w:w w:val="100"/>
          <w:spacing w:val="0"/>
          <w:color w:val="000000"/>
          <w:position w:val="0"/>
        </w:rPr>
        <w:t>001816634267</w:t>
      </w:r>
    </w:p>
    <w:p>
      <w:pPr>
        <w:pStyle w:val="Style5"/>
        <w:widowControl w:val="0"/>
        <w:keepNext w:val="0"/>
        <w:keepLines w:val="0"/>
        <w:shd w:val="clear" w:color="auto" w:fill="auto"/>
        <w:bidi w:val="0"/>
        <w:jc w:val="both"/>
        <w:spacing w:before="0" w:after="0" w:line="317" w:lineRule="exact"/>
        <w:ind w:left="40" w:right="0" w:firstLine="740"/>
      </w:pPr>
      <w:r>
        <w:rPr>
          <w:lang w:val="ru-RU" w:eastAsia="ru-RU" w:bidi="ru-RU"/>
          <w:w w:val="100"/>
          <w:spacing w:val="0"/>
          <w:color w:val="000000"/>
          <w:position w:val="0"/>
        </w:rPr>
        <w:t>ООО «ЙОДОБРОМ»: Г.Р. Фахрутдиновой (по дов. №б/н от 03.08.2021),</w:t>
      </w:r>
      <w:r>
        <w:br w:type="page"/>
      </w:r>
    </w:p>
    <w:p>
      <w:pPr>
        <w:pStyle w:val="Style5"/>
        <w:widowControl w:val="0"/>
        <w:keepNext w:val="0"/>
        <w:keepLines w:val="0"/>
        <w:shd w:val="clear" w:color="auto" w:fill="auto"/>
        <w:bidi w:val="0"/>
        <w:jc w:val="both"/>
        <w:spacing w:before="0" w:after="300"/>
        <w:ind w:left="20" w:right="20" w:firstLine="720"/>
      </w:pPr>
      <w:r>
        <w:rPr>
          <w:lang w:val="ru-RU" w:eastAsia="ru-RU" w:bidi="ru-RU"/>
          <w:w w:val="100"/>
          <w:spacing w:val="0"/>
          <w:color w:val="000000"/>
          <w:position w:val="0"/>
        </w:rPr>
        <w:t>рассмотрев жалобу ООО «ЙОДОБРОМ» (далее - Заявитель) на действия ФКУЗ «Медико-санитарная часть МВД РФ по г. Москве» (далее — Заказчик) при проведении электронного аукциона на право заключения государственного контракта на поставку реагента противогололедного в Клинический госпиталь ФКУЗ «МСЧ МВД России по г. Москве» (Закупка № 0373100084421000368)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10"/>
        <w:widowControl w:val="0"/>
        <w:keepNext/>
        <w:keepLines/>
        <w:shd w:val="clear" w:color="auto" w:fill="auto"/>
        <w:bidi w:val="0"/>
        <w:spacing w:before="0" w:after="0"/>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ind w:left="20" w:right="20" w:firstLine="6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ind w:left="20" w:right="20" w:firstLine="60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исх. №ЕИ/64903/21 от 22.10.2021, Комиссия Управления установила следующее.</w:t>
      </w:r>
    </w:p>
    <w:p>
      <w:pPr>
        <w:pStyle w:val="Style5"/>
        <w:widowControl w:val="0"/>
        <w:keepNext w:val="0"/>
        <w:keepLines w:val="0"/>
        <w:shd w:val="clear" w:color="auto" w:fill="auto"/>
        <w:bidi w:val="0"/>
        <w:jc w:val="both"/>
        <w:spacing w:before="0" w:after="0"/>
        <w:ind w:left="20" w:right="20" w:firstLine="600"/>
      </w:pPr>
      <w:r>
        <w:rPr>
          <w:lang w:val="ru-RU" w:eastAsia="ru-RU" w:bidi="ru-RU"/>
          <w:w w:val="100"/>
          <w:spacing w:val="0"/>
          <w:color w:val="000000"/>
          <w:position w:val="0"/>
        </w:rPr>
        <w:t>Заявитель в жалобе указывает на то, что Заказчиком не установлено требование к участникам закупки о предоставлении в составе заявки на участие в электронном аукционе положительного заключения государственной экологической экспертизы федерального уровня на техническую документацию (технические условия, стандарты организаций) на противогололедный реагент, проведенной центральным аппаратом федерального органа исполнительной власти по контролю и надзору в сфере природопользования или его территориальным органом, осуществляющим отдельные функции федерального органа исполнительной власти по контролю и надзору в сфере природопользования на территории Москвы и Московской области, выданного уполномоченным органом, проводившим такую экспертизу, разрешающего применять предлагаемый противогололедный реагент в пределах административных границ города Москвы, предусмотренного Постановлением Правительства Москвы от 10.04.2007 №242- ПП «О Порядке допуска к применению противогололедных реагентов для зимней уборки объектов дорожного хозяйства и дворовых территорий в городе Москве» (далее — Постановление №242).</w:t>
      </w:r>
    </w:p>
    <w:p>
      <w:pPr>
        <w:pStyle w:val="Style5"/>
        <w:widowControl w:val="0"/>
        <w:keepNext w:val="0"/>
        <w:keepLines w:val="0"/>
        <w:shd w:val="clear" w:color="auto" w:fill="auto"/>
        <w:bidi w:val="0"/>
        <w:jc w:val="both"/>
        <w:spacing w:before="0" w:after="0"/>
        <w:ind w:left="20" w:right="20" w:firstLine="600"/>
      </w:pPr>
      <w:r>
        <w:rPr>
          <w:lang w:val="ru-RU" w:eastAsia="ru-RU" w:bidi="ru-RU"/>
          <w:w w:val="100"/>
          <w:spacing w:val="0"/>
          <w:color w:val="000000"/>
          <w:position w:val="0"/>
        </w:rPr>
        <w:t>В силу п.1,п.2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а также требования к содержанию, составу заявки на участие в таком аукционе в соответствии с ч. 3 - 6 ст.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силу п.3 ч.5 ст.66 Закона о контрактной системе вторая часть заявки на участие в электронном аукционе должна содержать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5"/>
        <w:widowControl w:val="0"/>
        <w:keepNext w:val="0"/>
        <w:keepLines w:val="0"/>
        <w:shd w:val="clear" w:color="auto" w:fill="auto"/>
        <w:bidi w:val="0"/>
        <w:jc w:val="both"/>
        <w:spacing w:before="0" w:after="0"/>
        <w:ind w:left="20" w:right="20" w:firstLine="600"/>
      </w:pPr>
      <w:r>
        <w:rPr>
          <w:lang w:val="ru-RU" w:eastAsia="ru-RU" w:bidi="ru-RU"/>
          <w:w w:val="100"/>
          <w:spacing w:val="0"/>
          <w:color w:val="000000"/>
          <w:position w:val="0"/>
        </w:rPr>
        <w:t>Согласно ст.33 Федерального закона от 10.01.2002 №7-ФЗ «Об охране окружающей среды» экологическая экспертиза проводится в целях установления соответствия документов и (или) документации, обосновывающих планируемую хозяйственную и иную деятельность, требованиям в области охраны окружающей среды. Порядок проведения экологической экспертизы устанавливается федеральным законом об экологической экспертизе.</w:t>
      </w:r>
    </w:p>
    <w:p>
      <w:pPr>
        <w:pStyle w:val="Style5"/>
        <w:tabs>
          <w:tab w:leader="none" w:pos="2892" w:val="center"/>
          <w:tab w:leader="none" w:pos="6113" w:val="right"/>
          <w:tab w:leader="none" w:pos="6256" w:val="left"/>
        </w:tabs>
        <w:widowControl w:val="0"/>
        <w:keepNext w:val="0"/>
        <w:keepLines w:val="0"/>
        <w:shd w:val="clear" w:color="auto" w:fill="auto"/>
        <w:bidi w:val="0"/>
        <w:jc w:val="both"/>
        <w:spacing w:before="0" w:after="0"/>
        <w:ind w:left="20" w:right="20" w:firstLine="600"/>
      </w:pPr>
      <w:r>
        <w:rPr>
          <w:lang w:val="ru-RU" w:eastAsia="ru-RU" w:bidi="ru-RU"/>
          <w:w w:val="100"/>
          <w:spacing w:val="0"/>
          <w:color w:val="000000"/>
          <w:position w:val="0"/>
        </w:rPr>
        <w:t>Согласно ст. 1 Федерального закона от 23.11.1995 № 174 - ФЗ «Об экологической</w:t>
        <w:tab/>
        <w:t>экспертизе»</w:t>
        <w:tab/>
        <w:t>(далее - Закон</w:t>
        <w:tab/>
        <w:t>об экологической экспертизе)</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экологическая экспертиза - установление соответствия документов и (или) документации, обосновывающих намечаемую в связи с реализацией объекта экологической экспертизы хозяйственную и иную деятельность, экологическим требованиям, установленным техническими регламентами и законодательством в области охраны окружающей среды, в целях предотвращения негативного воздействия такой деятельности на окружающую среду.</w:t>
      </w:r>
    </w:p>
    <w:p>
      <w:pPr>
        <w:pStyle w:val="Style5"/>
        <w:tabs>
          <w:tab w:leader="none" w:pos="2892" w:val="center"/>
          <w:tab w:leader="none" w:pos="6113" w:val="right"/>
          <w:tab w:leader="none" w:pos="10202" w:val="right"/>
        </w:tabs>
        <w:widowControl w:val="0"/>
        <w:keepNext w:val="0"/>
        <w:keepLines w:val="0"/>
        <w:shd w:val="clear" w:color="auto" w:fill="auto"/>
        <w:bidi w:val="0"/>
        <w:jc w:val="both"/>
        <w:spacing w:before="0" w:after="0"/>
        <w:ind w:left="20" w:right="0" w:firstLine="600"/>
      </w:pPr>
      <w:r>
        <w:rPr>
          <w:lang w:val="ru-RU" w:eastAsia="ru-RU" w:bidi="ru-RU"/>
          <w:w w:val="100"/>
          <w:spacing w:val="0"/>
          <w:color w:val="000000"/>
          <w:position w:val="0"/>
        </w:rPr>
        <w:t>В силу</w:t>
        <w:tab/>
        <w:t>п.5 ст. 11</w:t>
        <w:tab/>
        <w:t>Закона об экологической</w:t>
        <w:tab/>
        <w:t>экспертизе объектами</w:t>
      </w:r>
    </w:p>
    <w:p>
      <w:pPr>
        <w:pStyle w:val="Style5"/>
        <w:tabs>
          <w:tab w:leader="none" w:pos="6113" w:val="right"/>
          <w:tab w:leader="none" w:pos="10202" w:val="righ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государственной экологической экспертизы федерального уровня являются: проекты технической документации на новые технику, технологию, использование которых может оказать воздействие</w:t>
        <w:tab/>
        <w:t>на окружающую среду,</w:t>
        <w:tab/>
        <w:t>а также технической</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документации на новые вещества, которые могут поступать в природную среду.</w:t>
      </w:r>
    </w:p>
    <w:p>
      <w:pPr>
        <w:pStyle w:val="Style5"/>
        <w:tabs>
          <w:tab w:leader="none" w:pos="2892" w:val="center"/>
          <w:tab w:leader="none" w:pos="6174" w:val="left"/>
          <w:tab w:leader="none" w:pos="10202" w:val="right"/>
        </w:tabs>
        <w:widowControl w:val="0"/>
        <w:keepNext w:val="0"/>
        <w:keepLines w:val="0"/>
        <w:shd w:val="clear" w:color="auto" w:fill="auto"/>
        <w:bidi w:val="0"/>
        <w:jc w:val="both"/>
        <w:spacing w:before="0" w:after="0"/>
        <w:ind w:left="20" w:right="0" w:firstLine="600"/>
      </w:pPr>
      <w:r>
        <w:rPr>
          <w:lang w:val="ru-RU" w:eastAsia="ru-RU" w:bidi="ru-RU"/>
          <w:w w:val="100"/>
          <w:spacing w:val="0"/>
          <w:color w:val="000000"/>
          <w:position w:val="0"/>
        </w:rPr>
        <w:t>Согласно</w:t>
        <w:tab/>
        <w:t>Рекомендациям Р 50-605-80-93,</w:t>
        <w:tab/>
        <w:t>которые</w:t>
        <w:tab/>
        <w:t>утверждены приказом</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ВНИИстандарта от 09.07.1993 № 18, новая продукция - продукция, впервые изготовленная в стране, отличающаяся от выпускаемой улучшенными свойствами или характеристиками и получающая новое обозначение. К новой продукции относятся также модернизированная и модифицированная продукция.</w:t>
      </w:r>
    </w:p>
    <w:p>
      <w:pPr>
        <w:pStyle w:val="Style5"/>
        <w:widowControl w:val="0"/>
        <w:keepNext w:val="0"/>
        <w:keepLines w:val="0"/>
        <w:shd w:val="clear" w:color="auto" w:fill="auto"/>
        <w:bidi w:val="0"/>
        <w:jc w:val="both"/>
        <w:spacing w:before="0" w:after="0"/>
        <w:ind w:left="20" w:right="20" w:firstLine="600"/>
      </w:pPr>
      <w:r>
        <w:rPr>
          <w:lang w:val="ru-RU" w:eastAsia="ru-RU" w:bidi="ru-RU"/>
          <w:w w:val="100"/>
          <w:spacing w:val="0"/>
          <w:color w:val="000000"/>
          <w:position w:val="0"/>
        </w:rPr>
        <w:t>Таким образом, новым веществом, который придается этому понятию статьей 11 Закона об экологической экспертизе, являются противогололедные реагенты, техническая документация на которые не имеет действующего положительного заключения государственной экологической экспертизы.</w:t>
      </w:r>
    </w:p>
    <w:p>
      <w:pPr>
        <w:pStyle w:val="Style5"/>
        <w:tabs>
          <w:tab w:leader="none" w:pos="1618" w:val="left"/>
        </w:tabs>
        <w:widowControl w:val="0"/>
        <w:keepNext w:val="0"/>
        <w:keepLines w:val="0"/>
        <w:shd w:val="clear" w:color="auto" w:fill="auto"/>
        <w:bidi w:val="0"/>
        <w:jc w:val="both"/>
        <w:spacing w:before="0" w:after="0"/>
        <w:ind w:left="20" w:right="20" w:firstLine="600"/>
      </w:pPr>
      <w:r>
        <w:rPr>
          <w:lang w:val="ru-RU" w:eastAsia="ru-RU" w:bidi="ru-RU"/>
          <w:w w:val="100"/>
          <w:spacing w:val="0"/>
          <w:color w:val="000000"/>
          <w:position w:val="0"/>
        </w:rPr>
        <w:t>В соответствии с п. 8 ст.11 Закона об экологической экспертизе объектами государственной экологической экспертизы федерального уровня являются: объект государственной экологической экспертизы, указанный в настоящей статье и ранее получивший положительное заключение государственной экологической экспертизы, в случае:</w:t>
        <w:tab/>
        <w:t>доработки такого объекта по замечаниям проведенной ранее государственной экологической экспертизы, реализации такого объекта с отступлениями от документации, получившей положительное заключение государственной экологической экспертизы, и (или) в случае внесения изменений в указанную документацию, истечения срока действия положительного заключения государственной экологической экспертизы, внесения изменений в документацию, получившую положительное заключение государственной экологической экспертизы.</w:t>
      </w:r>
    </w:p>
    <w:p>
      <w:pPr>
        <w:pStyle w:val="Style5"/>
        <w:widowControl w:val="0"/>
        <w:keepNext w:val="0"/>
        <w:keepLines w:val="0"/>
        <w:shd w:val="clear" w:color="auto" w:fill="auto"/>
        <w:bidi w:val="0"/>
        <w:jc w:val="both"/>
        <w:spacing w:before="0" w:after="0"/>
        <w:ind w:left="0" w:right="20" w:firstLine="600"/>
      </w:pPr>
      <w:r>
        <w:rPr>
          <w:lang w:val="ru-RU" w:eastAsia="ru-RU" w:bidi="ru-RU"/>
          <w:w w:val="100"/>
          <w:spacing w:val="0"/>
          <w:color w:val="000000"/>
          <w:position w:val="0"/>
        </w:rPr>
        <w:t>В соответствии с п. 2(1).30 Постановления №242 в документации о закупке противогололедных реагентов в качестве одного из обязательных требований указывается представление участником закупки при подаче заявки на участие в закупке действующего положительного заключения государственной экологической экспертизы федерального уровня на техническую документацию (технические условия, стандарты организаций) на противогололедный реагент, проведенной центральным аппаратом федерального органа исполнительной власти по контролю и надзору в сфере природопользования или его территориальным органом, осуществляющим отдельные функции федерального органа исполнительной власти по контролю и надзору в сфере природопользования на территории Москвы и Московской области, выданного уполномоченным органом, проводившим такую экспертизу, разрешающего применять предлагаемый противогололедный реагент в пределах административных границ города Москвы, а также представление паспорта безопасности вещества (материала) на противогололедный реагент.</w:t>
      </w:r>
    </w:p>
    <w:p>
      <w:pPr>
        <w:pStyle w:val="Style5"/>
        <w:widowControl w:val="0"/>
        <w:keepNext w:val="0"/>
        <w:keepLines w:val="0"/>
        <w:shd w:val="clear" w:color="auto" w:fill="auto"/>
        <w:bidi w:val="0"/>
        <w:jc w:val="both"/>
        <w:spacing w:before="0" w:after="0"/>
        <w:ind w:left="0" w:right="20" w:firstLine="600"/>
      </w:pPr>
      <w:r>
        <w:rPr>
          <w:lang w:val="ru-RU" w:eastAsia="ru-RU" w:bidi="ru-RU"/>
          <w:w w:val="100"/>
          <w:spacing w:val="0"/>
          <w:color w:val="000000"/>
          <w:position w:val="0"/>
        </w:rPr>
        <w:t>Из указанного положения следует, что положительное заключение экологической экспертизы требуется на техническую документацию противогололедного реагента, который не предусмотрен действующей на территории города Москвы Технологией зимней уборки и который ранее не применялся на объектах дорожного хозяйства города Москвы.</w:t>
      </w:r>
    </w:p>
    <w:p>
      <w:pPr>
        <w:pStyle w:val="Style5"/>
        <w:widowControl w:val="0"/>
        <w:keepNext w:val="0"/>
        <w:keepLines w:val="0"/>
        <w:shd w:val="clear" w:color="auto" w:fill="auto"/>
        <w:bidi w:val="0"/>
        <w:jc w:val="both"/>
        <w:spacing w:before="0" w:after="0"/>
        <w:ind w:left="0" w:right="20" w:firstLine="600"/>
      </w:pPr>
      <w:r>
        <w:rPr>
          <w:lang w:val="ru-RU" w:eastAsia="ru-RU" w:bidi="ru-RU"/>
          <w:w w:val="100"/>
          <w:spacing w:val="0"/>
          <w:color w:val="000000"/>
          <w:position w:val="0"/>
        </w:rPr>
        <w:t>Таким образом, если предметом закупки является поставка противогололедного реагента, то Заказчик должен в аукционной документации установить требование о предоставлении действующего положительного заключения государственной экологической экспертизы федерального уровня на техническую документацию (технические условия, стандарты организаций) на противогололедный реагент.</w:t>
      </w:r>
    </w:p>
    <w:p>
      <w:pPr>
        <w:pStyle w:val="Style5"/>
        <w:widowControl w:val="0"/>
        <w:keepNext w:val="0"/>
        <w:keepLines w:val="0"/>
        <w:shd w:val="clear" w:color="auto" w:fill="auto"/>
        <w:bidi w:val="0"/>
        <w:jc w:val="both"/>
        <w:spacing w:before="0" w:after="0"/>
        <w:ind w:left="0" w:right="20" w:firstLine="600"/>
      </w:pPr>
      <w:r>
        <w:rPr>
          <w:lang w:val="ru-RU" w:eastAsia="ru-RU" w:bidi="ru-RU"/>
          <w:w w:val="100"/>
          <w:spacing w:val="0"/>
          <w:color w:val="000000"/>
          <w:position w:val="0"/>
        </w:rPr>
        <w:t>На заседании Комиссии Управления установлено, что согласно извещению о проведении электронного аукциона объектом закупки является поставка противогололедного реагента, при этом, Заказчиком в аукционной документации не установлено требование о предоставлении участниками закупки в составе второй части заявки на участие в электронном аукционе положительного заключения государственной экологической экспертизы федерального уровня на техническую документацию (технические условия, стандарты организаций) на противогололедный реагент.</w:t>
      </w:r>
    </w:p>
    <w:p>
      <w:pPr>
        <w:pStyle w:val="Style5"/>
        <w:widowControl w:val="0"/>
        <w:keepNext w:val="0"/>
        <w:keepLines w:val="0"/>
        <w:shd w:val="clear" w:color="auto" w:fill="auto"/>
        <w:bidi w:val="0"/>
        <w:jc w:val="both"/>
        <w:spacing w:before="0" w:after="0"/>
        <w:ind w:left="0" w:right="20" w:firstLine="600"/>
      </w:pPr>
      <w:r>
        <w:rPr>
          <w:lang w:val="ru-RU" w:eastAsia="ru-RU" w:bidi="ru-RU"/>
          <w:w w:val="100"/>
          <w:spacing w:val="0"/>
          <w:color w:val="000000"/>
          <w:position w:val="0"/>
        </w:rPr>
        <w:t>В силу ч. 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ind w:left="0" w:right="20" w:firstLine="600"/>
      </w:pPr>
      <w:r>
        <w:rPr>
          <w:lang w:val="ru-RU" w:eastAsia="ru-RU" w:bidi="ru-RU"/>
          <w:w w:val="100"/>
          <w:spacing w:val="0"/>
          <w:color w:val="000000"/>
          <w:position w:val="0"/>
        </w:rPr>
        <w:t>На заседании Комиссии Управления представители Заказчика пояснили, что по мнению Заказчика положительное заключение государственной экологической экспертизы предоставляется исполнителем при поставке товара.</w:t>
      </w:r>
    </w:p>
    <w:p>
      <w:pPr>
        <w:pStyle w:val="Style5"/>
        <w:widowControl w:val="0"/>
        <w:keepNext w:val="0"/>
        <w:keepLines w:val="0"/>
        <w:shd w:val="clear" w:color="auto" w:fill="auto"/>
        <w:bidi w:val="0"/>
        <w:jc w:val="both"/>
        <w:spacing w:before="0" w:after="0"/>
        <w:ind w:left="0" w:right="20" w:firstLine="640"/>
      </w:pPr>
      <w:r>
        <w:rPr>
          <w:lang w:val="ru-RU" w:eastAsia="ru-RU" w:bidi="ru-RU"/>
          <w:w w:val="100"/>
          <w:spacing w:val="0"/>
          <w:color w:val="000000"/>
          <w:position w:val="0"/>
        </w:rPr>
        <w:t>Вместе с тем Комиссия Управления отмечает, что аукционная документация не содержит указания на предоставление участниками закупки положительное заключения государственной экологической экспертизы ни на стадии подачи заявок или при поставке товара. При этом исходя из совокупного толкования положений п.3 ч.5 ст.66 Закона о контрактной системе и Постановления №242 вышеуказанный документ предоставляется в составе второй части заявки на участие в аукционе.</w:t>
      </w:r>
    </w:p>
    <w:p>
      <w:pPr>
        <w:pStyle w:val="Style5"/>
        <w:widowControl w:val="0"/>
        <w:keepNext w:val="0"/>
        <w:keepLines w:val="0"/>
        <w:shd w:val="clear" w:color="auto" w:fill="auto"/>
        <w:bidi w:val="0"/>
        <w:jc w:val="both"/>
        <w:spacing w:before="0" w:after="0"/>
        <w:ind w:left="0" w:right="20" w:firstLine="640"/>
      </w:pPr>
      <w:r>
        <w:rPr>
          <w:lang w:val="ru-RU" w:eastAsia="ru-RU" w:bidi="ru-RU"/>
          <w:w w:val="100"/>
          <w:spacing w:val="0"/>
          <w:color w:val="000000"/>
          <w:position w:val="0"/>
        </w:rPr>
        <w:t>Таким образом, Комиссия Управления приходит к выводу о нарушении Заказчиком положений п.2 ч.1 ст.64 Закона о контрактной системе, что содержит признаки состава административного правонарушения, предусмотренного ч.4.2 ст.7.30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349"/>
        <w:ind w:left="0" w:right="20" w:firstLine="64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10"/>
        <w:widowControl w:val="0"/>
        <w:keepNext/>
        <w:keepLines/>
        <w:shd w:val="clear" w:color="auto" w:fill="auto"/>
        <w:bidi w:val="0"/>
        <w:spacing w:before="0" w:after="0"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1"/>
        </w:numPr>
        <w:widowControl w:val="0"/>
        <w:keepNext w:val="0"/>
        <w:keepLines w:val="0"/>
        <w:shd w:val="clear" w:color="auto" w:fill="auto"/>
        <w:bidi w:val="0"/>
        <w:jc w:val="both"/>
        <w:spacing w:before="0" w:after="0"/>
        <w:ind w:left="0" w:right="20" w:firstLine="640"/>
      </w:pPr>
      <w:r>
        <w:rPr>
          <w:lang w:val="ru-RU" w:eastAsia="ru-RU" w:bidi="ru-RU"/>
          <w:w w:val="100"/>
          <w:spacing w:val="0"/>
          <w:color w:val="000000"/>
          <w:position w:val="0"/>
        </w:rPr>
        <w:t xml:space="preserve"> Признать жалобу ООО «ЙОДОБРОМ» на действия ФФКУЗ «Медико</w:t>
        <w:softHyphen/>
        <w:t>санитарная часть МВД РФ по г. Москве» обоснованной.</w:t>
      </w:r>
    </w:p>
    <w:p>
      <w:pPr>
        <w:pStyle w:val="Style5"/>
        <w:numPr>
          <w:ilvl w:val="0"/>
          <w:numId w:val="1"/>
        </w:numPr>
        <w:widowControl w:val="0"/>
        <w:keepNext w:val="0"/>
        <w:keepLines w:val="0"/>
        <w:shd w:val="clear" w:color="auto" w:fill="auto"/>
        <w:bidi w:val="0"/>
        <w:jc w:val="both"/>
        <w:spacing w:before="0" w:after="0"/>
        <w:ind w:left="0" w:right="20" w:firstLine="640"/>
      </w:pPr>
      <w:r>
        <w:rPr>
          <w:lang w:val="ru-RU" w:eastAsia="ru-RU" w:bidi="ru-RU"/>
          <w:w w:val="100"/>
          <w:spacing w:val="0"/>
          <w:color w:val="000000"/>
          <w:position w:val="0"/>
        </w:rPr>
        <w:t xml:space="preserve"> Признать в действиях Заказчика нарушение п.2 ч.1 ст.64 Закона о контрактной системе.</w:t>
      </w:r>
    </w:p>
    <w:p>
      <w:pPr>
        <w:pStyle w:val="Style5"/>
        <w:numPr>
          <w:ilvl w:val="0"/>
          <w:numId w:val="1"/>
        </w:numPr>
        <w:widowControl w:val="0"/>
        <w:keepNext w:val="0"/>
        <w:keepLines w:val="0"/>
        <w:shd w:val="clear" w:color="auto" w:fill="auto"/>
        <w:bidi w:val="0"/>
        <w:jc w:val="both"/>
        <w:spacing w:before="0" w:after="0" w:line="317" w:lineRule="exact"/>
        <w:ind w:left="0" w:right="20" w:firstLine="64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1"/>
        </w:numPr>
        <w:widowControl w:val="0"/>
        <w:keepNext w:val="0"/>
        <w:keepLines w:val="0"/>
        <w:shd w:val="clear" w:color="auto" w:fill="auto"/>
        <w:bidi w:val="0"/>
        <w:jc w:val="both"/>
        <w:spacing w:before="0" w:after="300"/>
        <w:ind w:left="0" w:right="20" w:firstLine="64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47"/>
        <w:ind w:left="0" w:right="20" w:firstLine="6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386"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Д.С. Грешнева</w:t>
      </w:r>
    </w:p>
    <w:p>
      <w:pPr>
        <w:pStyle w:val="Style5"/>
        <w:tabs>
          <w:tab w:leader="none" w:pos="8400" w:val="center"/>
          <w:tab w:leader="none" w:pos="10147"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А.А.</w:t>
        <w:tab/>
        <w:t>Кутейников</w:t>
      </w:r>
    </w:p>
    <w:p>
      <w:pPr>
        <w:pStyle w:val="Style5"/>
        <w:tabs>
          <w:tab w:leader="none" w:pos="9230" w:val="left"/>
        </w:tabs>
        <w:widowControl w:val="0"/>
        <w:keepNext w:val="0"/>
        <w:keepLines w:val="0"/>
        <w:shd w:val="clear" w:color="auto" w:fill="auto"/>
        <w:bidi w:val="0"/>
        <w:jc w:val="both"/>
        <w:spacing w:before="0" w:after="611" w:line="638" w:lineRule="exact"/>
        <w:ind w:left="8640" w:right="0" w:firstLine="0"/>
      </w:pPr>
      <w:r>
        <w:rPr>
          <w:lang w:val="ru-RU" w:eastAsia="ru-RU" w:bidi="ru-RU"/>
          <w:w w:val="100"/>
          <w:spacing w:val="0"/>
          <w:color w:val="000000"/>
          <w:position w:val="0"/>
        </w:rPr>
        <w:t>В.А. Матвеев</w:t>
      </w:r>
    </w:p>
    <w:p>
      <w:pPr>
        <w:pStyle w:val="Style12"/>
        <w:widowControl w:val="0"/>
        <w:keepNext w:val="0"/>
        <w:keepLines w:val="0"/>
        <w:shd w:val="clear" w:color="auto" w:fill="auto"/>
        <w:bidi w:val="0"/>
        <w:jc w:val="left"/>
        <w:spacing w:before="0" w:after="0"/>
        <w:ind w:left="0" w:right="822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060" w:left="843" w:right="819" w:bottom="103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 10 pt"/>
    <w:basedOn w:val="CharStyle6"/>
    <w:rPr>
      <w:lang w:val="ru-RU" w:eastAsia="ru-RU" w:bidi="ru-RU"/>
      <w:sz w:val="20"/>
      <w:szCs w:val="20"/>
      <w:w w:val="100"/>
      <w:spacing w:val="0"/>
      <w:color w:val="000000"/>
      <w:position w:val="0"/>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1080" w:after="24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300"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