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«ГП № 11 ДЗМ»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Кравченко, д. 14, г. Москва, 119331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«Здравмедтех-М»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2-я Кабельная ул., д. 2, г. Москва,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111024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37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5"/>
        <w:tabs>
          <w:tab w:leader="none" w:pos="1015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4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№077/06/106-19065/2021 по результатам проведенной внеплановой проверки 27.10.2021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требований пп. «б» п.2 ч.3 ст.99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в соответствии с п.4.2 Методических рекомендаций утвержденных Письмом России от 25.05.2007 №АЦ/8325 проведена внеплановая проверка действий ГБУЗ «ГП № 11 ДЗМ» при проведении электронного аукциона на право заключения государственного контракта на поставку медицинского белья для нужд ГБУЗ «ГП № 11 ДЗМ» (Закупка № 0373200575321000033).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С.И. Казарина,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А.З. Касимовой,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3"/>
        <w:tabs>
          <w:tab w:leader="none" w:pos="6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проведенной внеплановой проверки Комиссия Управления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36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ООО «Здравмедтех-М» (вх. № 92057-ЭП/21 от 21.10.2021) (далее — Заявитель) на действия ГБУЗ «ГП № 11 ДЗМ» (далее — Заказчик) при проведении электронного аукциона на право заключения государственного контракта на поставку медицинского белья для нужд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001943245342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«ГП № 11 ДЗМ» (Закупка № 0373200575321000033) (далее — аукцион).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указанная жалоба отозвана Заявителем в соответствии с ч.15 ст.105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П.2 письма ФАС России от 19.10.2018 № ИА/84476/18 установлено, что в случае если в жалобе содержатся указания на действия (бездействия) Заказчика, содержащие признаки нарушения законодательства об осуществлении закупок ФАС России (территориальный орган) обязан провести внеплановую проверку.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проведения внеплановой проверки Комиссией Управления проверено соблюдение Заказчиком законодательства об осуществлении закупок при проведении вышеуказанного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Заказчика, выразившиеся в утверждении аукционной документации в нарушение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п.1, 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ст.33 Закона о контрактной системе, в том числе обоснование начальной (максимальной) цены контракта, начальных цен единиц товара, работы, услуги, а также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ст.33 Закона о контрактной системе документация 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3"/>
        <w:numPr>
          <w:ilvl w:val="0"/>
          <w:numId w:val="1"/>
        </w:numPr>
        <w:tabs>
          <w:tab w:leader="none" w:pos="107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составе жалобы Заявитель указывает, что аукционная документация, размещенная Заказчиком в Единой информационной системе в сфере закупок (далее - ЕИС), содержит ограничения для ознакомления — файл Технического задания размещен в формате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«pdf»,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не обеспечивающем возможность копирования, поиска и ознакомления с текстом, что не позволяет участникам закупки беспрепятственно сформировать первую часть заявки на участие в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ч.1 ст.4 Закона о контрактной системе в целях информационного обеспечения контрактной системы в сфере закупок создается и ведется единая информационная система.</w:t>
      </w:r>
    </w:p>
    <w:p>
      <w:pPr>
        <w:pStyle w:val="Style3"/>
        <w:numPr>
          <w:ilvl w:val="0"/>
          <w:numId w:val="3"/>
        </w:numPr>
        <w:tabs>
          <w:tab w:leader="none" w:pos="132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ст.4 Закона о контрактной системе установлено, что информация, содержащаяся в единой информационной системе, является общедоступной и предоставляется безвозмездно.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ч.5 ст.4 Закона о контрактной системе информация, содержащаяся в единой информационной системе, размещается на официальном сайте единой информационной системы в информационно-телекоммуникационной сети «Интернет» (далее - официальный сайт).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Порядок пользования единой информационной системой в сфере закупок (далее - Порядок, ЕИС) утвержден приказом Федерального казначейства от 30 декабря 2015 г. № 26н.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пункту 1.2 Порядка в ЕИС размещаются файлы следующих форматов: </w:t>
      </w:r>
      <w:r>
        <w:rPr>
          <w:lang w:val="en-US" w:eastAsia="en-US" w:bidi="en-US"/>
          <w:w w:val="100"/>
          <w:spacing w:val="0"/>
          <w:color w:val="000000"/>
          <w:position w:val="0"/>
        </w:rPr>
        <w:t>bmp, jpg, jpeg, gif, tif, tiff, docx, doc, rtf, txt, pdf, xls, xlsx, rar, zip.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Постановлением Правительства Российской Федерации от 23.12.2015 №1414 «О порядке функционирования единой информационной системы в сфере закупок» утверждены Правила функционирования единой информационной системы в сфере закупок (далее - Правила).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подпункту «л» пункта 14 Правил технологические (технические и программные) средства официального сайта ЕИС должны обеспечивать возможность поиска пользователями официального сайта ЕИС текстовой информации и документов, размещенных на официальном сайте ЕИС, по их реквизитам, наименованию, по фрагментам текста, за исключением возможности поиска текстовой информации в документах, сформированных в виде электронного образа документа, а также возможность получения запрашиваемых информации и документов.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из вышеуказанных положений Закона о контрактной системе и Правил следует, что заказчик, уполномоченный орган обязаны разместить информацию о закупке на официальном сайте Российской Федерации в сети «Интернет» без каких-либо ограничений, связанных с ее ознакомлением.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информация, необходимая для заполнения заявки участниками закупки, в виде текста размещается на официальном сайте в читаемом формате, обеспечивающем возможность поиска и копирования фрагментов текста средствами веб-обозревателя («гипертекстовый формат»), то есть в формате,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общераспространенных программ для просмотра («документ в электронной форме»).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Одновременно с этим в соответствии ч.2 ст.65 Закона о контрактной системе документация об электронном аукционе должна быть доступна для ознакомления в ЕИС без взимания платы.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вышеуказанные положения Закона о контрактной системе устанавливают обязательность доступности вышеуказанной информации для ознакомления в ЕИС.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Вместе с тем Комиссией Управления установлено, что размещенная Заказчиком в ЕИС техническая часть аукционной документации размещена в формате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«pdf»,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которая формально соответствуют требованиям законодательства о контрактной системе, однако их содержание сформировано таким образом, что без применения специальных программных и аппаратных средств, не представляется возможным осуществить копирование и поиск произвольных фрагментов текста, что нарушает п.1 ч.1 ст.33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случае размещения заказчиком в единой информационной системе технической части документации в формате, не обеспечивающем возможности копирования фрагментов при условии, что такой текст необходим для заполнения заявки, участнику закупки необходимо самостоятельно заполнять заявку в ручном режиме, что при наличии большого объема информации приводит к невозможности участников закупки заполнить заявку надлежащим образом в установленные сроки, поскольку требует больших временных затрат, и как следствие, является дополнительным барьером, приводит к ограничению количества участников закупки, а также к формальным ошибкам в заявках участников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Для недопущения подобных действий действующим законодательством в сфере закупок установлены требования по объективному описанию объекта закупки и включению такого описания в документацию о закупке, в данном случае в электронный аукцион, и установлены соответствующие правила проведения электронного аукциона посредством программных средств, установленных на электронных вычислительных машинах.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Заказчик, зная данные требования, фактически установил дополнительный барьер к допуску участников в указанном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данном случае, Комиссия Управления соглашается с доводами жалобы о необоснованном ограничении количества участников закупки, путем создания искусственных препятствий для надлежащего заполнения Формы 2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этом, следует отметить, что, включив в состав аукционной документации специальную форму для заполнения сведений о товарах и их характеристиках, Заказчик фактически предлагает участникам закупки ее использование при подготовке своих заявок.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такие действия Заказчика по своей сути означают злоупотреблением правом на формирование аукционной документацией, поскольку нивелируют свободу предоставления коммерческого предложения, установленную Законом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Тем более, что положения нормативных правовых актов, регулирующих порядок размещения информации в Единой информационной системе в сфере закупок, определяют необходимость осуществления свободного копирования и поиска информации.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этим, Комиссия Управления полагает, что сформированная подобным образом аукционная документация не отвечает, прежде всего, принципам, заложенным п.1 ч.1 ст.33 Закона о контрактной системе, так само по себе объективное описание закупки должно быть не только содержательным, но и не должно никоим образом ограничивать количество участников закупки, если только такое описание надлежащим образом не обосновано самим Заказчиком, что в настоящем случае последним сделано не было, вышеуказанное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содер</w:t>
      </w:r>
      <w:r>
        <w:rPr>
          <w:lang w:val="ru-RU" w:eastAsia="ru-RU" w:bidi="ru-RU"/>
          <w:w w:val="100"/>
          <w:spacing w:val="0"/>
          <w:color w:val="000000"/>
          <w:position w:val="0"/>
        </w:rPr>
        <w:t>жит признаки административного правонарушения, ответственность за которое предусмотрена ч.4.2 ст.7.30 Кодекса Российской Федерации об административных правонарушениях.</w:t>
      </w:r>
    </w:p>
    <w:p>
      <w:pPr>
        <w:pStyle w:val="Style3"/>
        <w:numPr>
          <w:ilvl w:val="0"/>
          <w:numId w:val="1"/>
        </w:numPr>
        <w:tabs>
          <w:tab w:leader="none" w:pos="104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Заявителя, Заказчиком неправомерно объединена в один лот поставка медицинских изделий разного вида, что противоречит требованиям Постановление Правительства РФ от 19 апреля 2021 г. № 620 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- Постановление №620).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п.2 ч.29 ст.34 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П.1 Постановления №620 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1 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>
      <w:pPr>
        <w:pStyle w:val="Style3"/>
        <w:numPr>
          <w:ilvl w:val="0"/>
          <w:numId w:val="5"/>
        </w:numPr>
        <w:tabs>
          <w:tab w:leader="none" w:pos="12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извещением о проведении электронного аукциона начальная максимальная цена контракта составляет 2 545 915,50 руб.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приложению № 1 к приказу Министерства здравоохранения Российской Федерации от 6 июня 2012 года № 4н «Об утверждении номенклатурной классификации медицинских изделий» (далее - Номенклатурная классификация) номенклатурная классификация медицинских изделий по видам (далее - классификация) содержит числовое обозначение вида медицинского изделия - идентификационный уникальный номер записи*, наименование вида медицинского изделия, описание вида медицинского изделия, содержащее соответствующие классификационные признаки вида медицинского изделия, указываемые в зависимости от назначения медицинского изделия.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* Фиксируется начальное значение 100000 и для каждой последующей записи значение увеличивается на 10.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18" w:left="867" w:right="824" w:bottom="103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Алгоритм формирования, применяемый для ведения номенклатурной классификации медицинских изделий по видам, представлен на схеме:</w:t>
      </w:r>
    </w:p>
    <w:tbl>
      <w:tblPr>
        <w:tblOverlap w:val="never"/>
        <w:tblLayout w:type="fixed"/>
        <w:jc w:val="center"/>
      </w:tblPr>
      <w:tblGrid>
        <w:gridCol w:w="1435"/>
        <w:gridCol w:w="782"/>
        <w:gridCol w:w="1474"/>
      </w:tblGrid>
      <w:tr>
        <w:trPr>
          <w:trHeight w:val="40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369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9"/>
              </w:rPr>
              <w:t>Вид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3691" w:wrap="notBeside" w:vAnchor="text" w:hAnchor="text" w:xAlign="center" w:y="1"/>
              <w:tabs>
                <w:tab w:leader="hyphen" w:pos="576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10"/>
                <w:lang w:val="ru-RU" w:eastAsia="ru-RU" w:bidi="ru-RU"/>
              </w:rPr>
              <w:tab/>
            </w:r>
            <w:r>
              <w:rPr>
                <w:rStyle w:val="CharStyle11"/>
              </w:rPr>
              <w:t>*1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3"/>
              <w:framePr w:w="369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11"/>
              </w:rPr>
              <w:t>Наименование</w:t>
            </w:r>
          </w:p>
        </w:tc>
      </w:tr>
      <w:tr>
        <w:trPr>
          <w:trHeight w:val="230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3"/>
              <w:framePr w:w="369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9"/>
              </w:rPr>
              <w:t>медицинского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369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3"/>
              <w:framePr w:w="369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9"/>
              </w:rPr>
              <w:t>вида</w:t>
            </w:r>
          </w:p>
        </w:tc>
      </w:tr>
      <w:tr>
        <w:trPr>
          <w:trHeight w:val="202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3"/>
              <w:framePr w:w="369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9"/>
              </w:rPr>
              <w:t>изделия: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369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3"/>
              <w:framePr w:w="369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9"/>
              </w:rPr>
              <w:t>медицинского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3"/>
              <w:framePr w:w="369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9"/>
              </w:rPr>
              <w:t>ХХХХХХ'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369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top"/>
          </w:tcPr>
          <w:p>
            <w:pPr>
              <w:pStyle w:val="Style3"/>
              <w:framePr w:w="369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9"/>
              </w:rPr>
              <w:t>изделия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rStyle w:val="CharStyle14"/>
        </w:rPr>
        <w:t>Классификационные признаки вида меди</w:t>
        <w:softHyphen/>
        <w:t>цинского изделий, указываемые в эависи мости от назначений медицинского изде</w:t>
        <w:softHyphen/>
        <w:t>лия:</w:t>
      </w:r>
    </w:p>
    <w:p>
      <w:pPr>
        <w:pStyle w:val="Style12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4"/>
        </w:rPr>
        <w:t xml:space="preserve"> область применения;</w:t>
      </w:r>
    </w:p>
    <w:p>
      <w:pPr>
        <w:pStyle w:val="Style12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4"/>
        </w:rPr>
        <w:t xml:space="preserve"> инвдэивность;</w:t>
      </w:r>
    </w:p>
    <w:p>
      <w:pPr>
        <w:pStyle w:val="Style12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4"/>
        </w:rPr>
        <w:t xml:space="preserve"> стерильность;</w:t>
      </w:r>
    </w:p>
    <w:p>
      <w:pPr>
        <w:pStyle w:val="Style12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rStyle w:val="CharStyle14"/>
        </w:rPr>
        <w:t xml:space="preserve"> частота использования (однократного или многократного применений);</w:t>
      </w:r>
    </w:p>
    <w:p>
      <w:pPr>
        <w:pStyle w:val="Style12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4"/>
        </w:rPr>
        <w:t xml:space="preserve"> эксплуатационные особенности;</w:t>
      </w:r>
    </w:p>
    <w:p>
      <w:pPr>
        <w:pStyle w:val="Style12"/>
        <w:numPr>
          <w:ilvl w:val="0"/>
          <w:numId w:val="7"/>
        </w:numPr>
        <w:tabs>
          <w:tab w:leader="underscore" w:pos="381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1196" w:left="1690" w:right="1714" w:bottom="1426" w:header="0" w:footer="3" w:gutter="0"/>
          <w:rtlGutter w:val="0"/>
          <w:cols w:num="2" w:sep="1" w:space="437"/>
          <w:noEndnote/>
          <w:docGrid w:linePitch="360"/>
        </w:sectPr>
      </w:pPr>
      <w:r>
        <w:rPr>
          <w:rStyle w:val="CharStyle15"/>
        </w:rPr>
        <w:t xml:space="preserve"> конструктивна особенности.</w:t>
      </w:r>
      <w:r>
        <w:rPr>
          <w:lang w:val="ru-RU" w:eastAsia="ru-RU" w:bidi="ru-RU"/>
          <w:w w:val="100"/>
          <w:color w:val="000000"/>
          <w:position w:val="0"/>
        </w:rPr>
        <w:tab/>
      </w: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необходимые к поставке товары подразделяются на следующие виды медицинских изделий: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Товары по п.1 «Простыня хирургическая общего назначения, одноразового использования, нестирильная» относятся к виду медицинских изделий №260270 «Простыня хирургическая для пациента, одноразового использования, нестерильная».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Товары по п.2, п.3, п.4 «Простыня для стола для осмотра/терапевтических процедур, одноразового использования» относятся к виду медицинских изделий №187230 «Простыня для стола для осмотра/терапевтических процедур, одноразового использования» и т.д.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отмечает, что согласно номенклатурной классификации каждый отдельный вид медицинского изделия обладает уникальным идентификационным номером записи в формате шестизначного кода, при этом номенклатурная классификация также содержит классификации видов медицинских изделий по группам и подгруппам, при этом Постановлением № 620 однозначно указано, что предметом одного контракта (одного лота) не могут быть медицинские изделия различных видов.</w:t>
      </w:r>
    </w:p>
    <w:p>
      <w:pPr>
        <w:pStyle w:val="Style3"/>
        <w:tabs>
          <w:tab w:leader="none" w:pos="3860" w:val="left"/>
          <w:tab w:leader="none" w:pos="447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Комиссия Управления приходит к выводу о нарушении Заказчиком п.1</w:t>
        <w:tab/>
        <w:t>ч.1</w:t>
        <w:tab/>
        <w:t>ст.33 Закона о контрактной системе при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объединении в один лот медицинских изделий, относящихся к разным видам номенклатурной классификации, вместе с этим в действиях Заказчика усматриваются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3. Также в составе жалобы Заявитель указывает на то, что информация о кодах КТРУ в Извещении о проведении электронного аукциона от 13.10.2021 №0373200575321000033 противоречит информации о кодах КТРУ в техническом задании аукционной документации, что вводит участников закупки в заблуждение и ограничивает количество участников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  <w:sectPr>
          <w:type w:val="continuous"/>
          <w:pgSz w:w="11906" w:h="16838"/>
          <w:pgMar w:top="1211" w:left="850" w:right="850" w:bottom="144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П.2 ст.42 Закона о контрактной системе установлено, что в извещении об осуществлении закупки должно содержаться краткое изложение условий контракта, содержащее наименование и описание объекта закупки с учетом требований, предусмотренных ст.33 Закона о контрактной системе,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или завершения работы либо график оказания услуг, начальная (максимальная) цена контракта, источник финансирования.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Постановлением Правительства Российской Федерации от 08.02.2017 № 145 (далее — постановление № 145)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</w:t>
      </w:r>
      <w:r>
        <w:rPr>
          <w:rStyle w:val="CharStyle16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пальных нужд (далее — Правила использования КТРУ).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извещением о проведении электронного аукциона объектом закупки является поставку медицинского белья.</w:t>
      </w:r>
    </w:p>
    <w:p>
      <w:pPr>
        <w:pStyle w:val="Style3"/>
        <w:tabs>
          <w:tab w:leader="none" w:pos="8478" w:val="right"/>
          <w:tab w:leader="none" w:pos="1016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согласно Извещению о проведении электронного аукциона от 13.10.2021</w:t>
        <w:tab/>
        <w:t>№0373200575321000033</w:t>
        <w:tab/>
        <w:t>Заказчиком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использованы следующие коды КТРУ:</w:t>
      </w:r>
    </w:p>
    <w:p>
      <w:pPr>
        <w:pStyle w:val="Style3"/>
        <w:numPr>
          <w:ilvl w:val="0"/>
          <w:numId w:val="9"/>
        </w:numPr>
        <w:tabs>
          <w:tab w:leader="none" w:pos="132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32.50.50.190-00001180 «Трусы при недержании мочи для взрослых, многоразового использования»;</w:t>
      </w:r>
    </w:p>
    <w:p>
      <w:pPr>
        <w:pStyle w:val="Style3"/>
        <w:numPr>
          <w:ilvl w:val="0"/>
          <w:numId w:val="9"/>
        </w:numPr>
        <w:tabs>
          <w:tab w:leader="none" w:pos="132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32.50.50.190-00001131 «Простыня хирургическая общего назначения, одноразового использования, нестерильная»;</w:t>
      </w:r>
    </w:p>
    <w:p>
      <w:pPr>
        <w:pStyle w:val="Style3"/>
        <w:numPr>
          <w:ilvl w:val="0"/>
          <w:numId w:val="9"/>
        </w:numPr>
        <w:tabs>
          <w:tab w:leader="none" w:pos="132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32.50.50.190-00000992 «Простыня, одноразового использования»</w:t>
      </w:r>
    </w:p>
    <w:p>
      <w:pPr>
        <w:pStyle w:val="Style3"/>
        <w:numPr>
          <w:ilvl w:val="0"/>
          <w:numId w:val="9"/>
        </w:numPr>
        <w:tabs>
          <w:tab w:leader="none" w:pos="132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32.50.50.190-00000889 «Простыня для осмотра/терапевтических процедур общего назначения»;</w:t>
      </w:r>
    </w:p>
    <w:p>
      <w:pPr>
        <w:pStyle w:val="Style3"/>
        <w:numPr>
          <w:ilvl w:val="0"/>
          <w:numId w:val="9"/>
        </w:numPr>
        <w:tabs>
          <w:tab w:leader="none" w:pos="1329" w:val="left"/>
          <w:tab w:leader="none" w:pos="6317" w:val="right"/>
          <w:tab w:leader="none" w:pos="7272" w:val="center"/>
          <w:tab w:leader="none" w:pos="9043" w:val="right"/>
          <w:tab w:leader="none" w:pos="1016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32.50.50.190-00000349</w:t>
        <w:tab/>
        <w:t>«Простыня</w:t>
        <w:tab/>
        <w:t>для</w:t>
        <w:tab/>
        <w:t>стола</w:t>
        <w:tab/>
        <w:t>для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осмотра/терапевтических процедур, одноразового использования».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согласно техническому заданию аукционной документации Заказчиком использованы следующие коды КТРУ:</w:t>
      </w:r>
    </w:p>
    <w:p>
      <w:pPr>
        <w:pStyle w:val="Style3"/>
        <w:numPr>
          <w:ilvl w:val="0"/>
          <w:numId w:val="9"/>
        </w:numPr>
        <w:tabs>
          <w:tab w:leader="none" w:pos="132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32.50.50.190-00001131 «Простыня хирургическая общего назначения, одноразового использования, нестерильная»;</w:t>
      </w:r>
    </w:p>
    <w:p>
      <w:pPr>
        <w:pStyle w:val="Style3"/>
        <w:numPr>
          <w:ilvl w:val="0"/>
          <w:numId w:val="9"/>
        </w:numPr>
        <w:tabs>
          <w:tab w:leader="none" w:pos="1329" w:val="left"/>
          <w:tab w:leader="none" w:pos="6317" w:val="right"/>
          <w:tab w:leader="none" w:pos="7272" w:val="center"/>
          <w:tab w:leader="none" w:pos="9043" w:val="right"/>
          <w:tab w:leader="none" w:pos="1016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32.50.50.190-00000349</w:t>
        <w:tab/>
        <w:t>«Простыня</w:t>
        <w:tab/>
        <w:t>для</w:t>
        <w:tab/>
        <w:t>стола</w:t>
        <w:tab/>
        <w:t>для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осмотра/терапевтических процедур, одноразового использования»;</w:t>
      </w:r>
    </w:p>
    <w:p>
      <w:pPr>
        <w:pStyle w:val="Style3"/>
        <w:numPr>
          <w:ilvl w:val="0"/>
          <w:numId w:val="9"/>
        </w:numPr>
        <w:tabs>
          <w:tab w:leader="none" w:pos="132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14.19.32.120 «Трусы для процедур».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Комиссия Управления приходит к выводу о нарушении Заказчиком п.2 ст.42 и ч.1 ст.64 Закона о контрактной системе при размещении противоречивой информации о кодах КТРУ в Извещении о проведении электронного аукциона и техническом задании аукционной документации, вместе с этим в действиях Заказчика усматриваются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7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6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0"/>
    </w:p>
    <w:p>
      <w:pPr>
        <w:pStyle w:val="Style3"/>
        <w:numPr>
          <w:ilvl w:val="0"/>
          <w:numId w:val="11"/>
        </w:numPr>
        <w:tabs>
          <w:tab w:leader="none" w:pos="74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ГБУЗ «ГП № 11 ДЗМ» при проведении электронного аукциона на право заключения государственного контракта на поставку медицинского белья для нужд ГБУЗ «ГП №</w:t>
        <w:tab/>
        <w:t>11 ДЗМ» (Закупка</w:t>
      </w:r>
    </w:p>
    <w:p>
      <w:pPr>
        <w:pStyle w:val="Style3"/>
        <w:tabs>
          <w:tab w:leader="none" w:pos="8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  <w:tab/>
        <w:t>0373200575321000033) по доводам, изложенным в жалобе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«Здравмедтех-М», нарушения п.1 ч.1 ст.33, п.2 ст.42, ч.1 ст.64 Закона о контрактной системе.</w:t>
      </w:r>
    </w:p>
    <w:p>
      <w:pPr>
        <w:pStyle w:val="Style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96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7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3"/>
        <w:tabs>
          <w:tab w:leader="none" w:pos="9025" w:val="right"/>
          <w:tab w:leader="none" w:pos="1017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С.И.</w:t>
        <w:tab/>
        <w:t>Казарин</w:t>
      </w:r>
    </w:p>
    <w:p>
      <w:pPr>
        <w:pStyle w:val="Style3"/>
        <w:tabs>
          <w:tab w:leader="none" w:pos="10174" w:val="right"/>
          <w:tab w:leader="none" w:pos="101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3690" w:line="63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Узкий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Тел. 8-495-784-75-05</w:t>
      </w:r>
    </w:p>
    <w:sectPr>
      <w:type w:val="continuous"/>
      <w:pgSz w:w="11906" w:h="16838"/>
      <w:pgMar w:top="1259" w:left="848" w:right="843" w:bottom="137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4"/>
      <w:numFmt w:val="decimal"/>
      <w:lvlText w:val="Ч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5"/>
      <w:numFmt w:val="decimal"/>
      <w:lvlText w:val="1,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bullet"/>
      <w:lvlText w:val="—"/>
      <w:rPr>
        <w:lang w:val="ru-RU" w:eastAsia="ru-RU" w:bidi="ru-RU"/>
        <w:b w:val="0"/>
        <w:bCs w:val="0"/>
        <w:i w:val="0"/>
        <w:iCs w:val="0"/>
        <w:u w:val="single"/>
        <w:strike w:val="0"/>
        <w:smallCaps w:val="0"/>
        <w:sz w:val="20"/>
        <w:szCs w:val="20"/>
        <w:rFonts w:ascii="Gulim" w:eastAsia="Gulim" w:hAnsi="Gulim" w:cs="Gulim"/>
        <w:w w:val="100"/>
        <w:spacing w:val="-20"/>
        <w:color w:val="000000"/>
        <w:position w:val="0"/>
      </w:rPr>
    </w:lvl>
  </w:abstractNum>
  <w:abstractNum w:abstractNumId="8">
    <w:multiLevelType w:val="multilevel"/>
    <w:lvl w:ilvl="0">
      <w:start w:val="1"/>
      <w:numFmt w:val="bullet"/>
      <w:lvlText w:val="•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Штрих-код (2)_"/>
    <w:basedOn w:val="DefaultParagraphFont"/>
    <w:link w:val="Style7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9">
    <w:name w:val="Основной текст + Gulim,10 pt,Интервал -1 pt"/>
    <w:basedOn w:val="CharStyle4"/>
    <w:rPr>
      <w:lang w:val="ru-RU" w:eastAsia="ru-RU" w:bidi="ru-RU"/>
      <w:sz w:val="20"/>
      <w:szCs w:val="20"/>
      <w:rFonts w:ascii="Gulim" w:eastAsia="Gulim" w:hAnsi="Gulim" w:cs="Gulim"/>
      <w:w w:val="100"/>
      <w:spacing w:val="-20"/>
      <w:color w:val="000000"/>
      <w:position w:val="0"/>
    </w:rPr>
  </w:style>
  <w:style w:type="character" w:customStyle="1" w:styleId="CharStyle10">
    <w:name w:val="Основной текст + 10 pt"/>
    <w:basedOn w:val="CharStyle4"/>
    <w:rPr>
      <w:lang w:val="1024"/>
      <w:sz w:val="20"/>
      <w:szCs w:val="20"/>
      <w:w w:val="100"/>
      <w:spacing w:val="0"/>
      <w:color w:val="000000"/>
      <w:position w:val="0"/>
    </w:rPr>
  </w:style>
  <w:style w:type="character" w:customStyle="1" w:styleId="CharStyle11">
    <w:name w:val="Основной текст + Gulim,10 pt,Интервал -1 pt"/>
    <w:basedOn w:val="CharStyle4"/>
    <w:rPr>
      <w:lang w:val="ru-RU" w:eastAsia="ru-RU" w:bidi="ru-RU"/>
      <w:sz w:val="20"/>
      <w:szCs w:val="20"/>
      <w:rFonts w:ascii="Gulim" w:eastAsia="Gulim" w:hAnsi="Gulim" w:cs="Gulim"/>
      <w:w w:val="100"/>
      <w:spacing w:val="-2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0"/>
      <w:szCs w:val="20"/>
      <w:rFonts w:ascii="Gulim" w:eastAsia="Gulim" w:hAnsi="Gulim" w:cs="Gulim"/>
      <w:spacing w:val="-20"/>
    </w:rPr>
  </w:style>
  <w:style w:type="character" w:customStyle="1" w:styleId="CharStyle14">
    <w:name w:val="Основной текст (3)"/>
    <w:basedOn w:val="CharStyle13"/>
    <w:rPr>
      <w:lang w:val="ru-RU" w:eastAsia="ru-RU" w:bidi="ru-RU"/>
      <w:w w:val="100"/>
      <w:color w:val="000000"/>
      <w:position w:val="0"/>
    </w:rPr>
  </w:style>
  <w:style w:type="character" w:customStyle="1" w:styleId="CharStyle15">
    <w:name w:val="Основной текст (3)"/>
    <w:basedOn w:val="CharStyle13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6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8">
    <w:name w:val="Заголовок №1_"/>
    <w:basedOn w:val="DefaultParagraphFont"/>
    <w:link w:val="Style1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0">
    <w:name w:val="Основной текст (4)_"/>
    <w:basedOn w:val="DefaultParagraphFont"/>
    <w:link w:val="Style19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64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before="48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Штрих-код (2)"/>
    <w:basedOn w:val="Normal"/>
    <w:link w:val="CharStyle8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both"/>
      <w:spacing w:line="216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Gulim" w:eastAsia="Gulim" w:hAnsi="Gulim" w:cs="Gulim"/>
      <w:spacing w:val="-20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spacing w:before="3360" w:line="22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