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4"/>
        <w:ind w:left="5340" w:right="180" w:firstLine="0"/>
      </w:pPr>
      <w:r>
        <w:rPr>
          <w:lang w:val="ru-RU" w:eastAsia="ru-RU" w:bidi="ru-RU"/>
          <w:w w:val="100"/>
          <w:spacing w:val="0"/>
          <w:color w:val="000000"/>
          <w:position w:val="0"/>
        </w:rPr>
        <w:t>ФГБУ «НМИЦ колопроктологии имени А.Н. Рыжих» Минздрава России</w:t>
      </w:r>
    </w:p>
    <w:p>
      <w:pPr>
        <w:pStyle w:val="Style5"/>
        <w:widowControl w:val="0"/>
        <w:keepNext w:val="0"/>
        <w:keepLines w:val="0"/>
        <w:shd w:val="clear" w:color="auto" w:fill="auto"/>
        <w:bidi w:val="0"/>
        <w:jc w:val="left"/>
        <w:spacing w:before="0" w:after="346" w:line="317" w:lineRule="exact"/>
        <w:ind w:left="5340" w:right="180" w:firstLine="0"/>
      </w:pPr>
      <w:r>
        <w:rPr>
          <w:lang w:val="ru-RU" w:eastAsia="ru-RU" w:bidi="ru-RU"/>
          <w:w w:val="100"/>
          <w:spacing w:val="0"/>
          <w:color w:val="000000"/>
          <w:position w:val="0"/>
        </w:rPr>
        <w:t>Саляма Адиля ул., д. 2, г. Москва, 123423</w:t>
      </w:r>
    </w:p>
    <w:p>
      <w:pPr>
        <w:pStyle w:val="Style5"/>
        <w:widowControl w:val="0"/>
        <w:keepNext w:val="0"/>
        <w:keepLines w:val="0"/>
        <w:shd w:val="clear" w:color="auto" w:fill="auto"/>
        <w:bidi w:val="0"/>
        <w:jc w:val="left"/>
        <w:spacing w:before="0" w:after="308" w:line="260" w:lineRule="exact"/>
        <w:ind w:left="5340" w:right="0" w:firstLine="0"/>
      </w:pPr>
      <w:r>
        <w:rPr>
          <w:lang w:val="ru-RU" w:eastAsia="ru-RU" w:bidi="ru-RU"/>
          <w:w w:val="100"/>
          <w:spacing w:val="0"/>
          <w:color w:val="000000"/>
          <w:position w:val="0"/>
        </w:rPr>
        <w:t>ООО «Опция»</w:t>
      </w:r>
    </w:p>
    <w:p>
      <w:pPr>
        <w:pStyle w:val="Style5"/>
        <w:widowControl w:val="0"/>
        <w:keepNext w:val="0"/>
        <w:keepLines w:val="0"/>
        <w:shd w:val="clear" w:color="auto" w:fill="auto"/>
        <w:bidi w:val="0"/>
        <w:jc w:val="left"/>
        <w:spacing w:before="0" w:after="349"/>
        <w:ind w:left="5340" w:right="180" w:firstLine="0"/>
      </w:pPr>
      <w:r>
        <w:rPr>
          <w:lang w:val="ru-RU" w:eastAsia="ru-RU" w:bidi="ru-RU"/>
          <w:w w:val="100"/>
          <w:spacing w:val="0"/>
          <w:color w:val="000000"/>
          <w:position w:val="0"/>
        </w:rPr>
        <w:t>ул. Малахова, д. 177А, пом. Н2, г. Барнаул, Алтайский кр., 656006</w:t>
      </w:r>
    </w:p>
    <w:p>
      <w:pPr>
        <w:pStyle w:val="Style5"/>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АО «Сбербанк-АСТ»</w:t>
      </w:r>
    </w:p>
    <w:p>
      <w:pPr>
        <w:pStyle w:val="Style5"/>
        <w:widowControl w:val="0"/>
        <w:keepNext w:val="0"/>
        <w:keepLines w:val="0"/>
        <w:shd w:val="clear" w:color="auto" w:fill="auto"/>
        <w:bidi w:val="0"/>
        <w:jc w:val="left"/>
        <w:spacing w:before="0" w:after="540"/>
        <w:ind w:left="5340" w:right="180" w:firstLine="0"/>
      </w:pPr>
      <w:r>
        <w:rPr>
          <w:lang w:val="ru-RU" w:eastAsia="ru-RU" w:bidi="ru-RU"/>
          <w:w w:val="100"/>
          <w:spacing w:val="0"/>
          <w:color w:val="000000"/>
          <w:position w:val="0"/>
        </w:rPr>
        <w:t>Ул. Большой Саввинский пер., д. 12, стр. 9, г. Москва, 119435</w:t>
      </w:r>
    </w:p>
    <w:p>
      <w:pPr>
        <w:pStyle w:val="Style7"/>
        <w:tabs>
          <w:tab w:leader="none" w:pos="8992" w:val="lef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077/06/106-19063/2021 о нарушении законодательства о контрактной системе 26.10.2021</w:t>
        <w:tab/>
        <w:t>г. Москва</w:t>
      </w:r>
    </w:p>
    <w:p>
      <w:pPr>
        <w:pStyle w:val="Style5"/>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5"/>
        <w:widowControl w:val="0"/>
        <w:keepNext w:val="0"/>
        <w:keepLines w:val="0"/>
        <w:shd w:val="clear" w:color="auto" w:fill="auto"/>
        <w:bidi w:val="0"/>
        <w:jc w:val="both"/>
        <w:spacing w:before="0" w:after="0"/>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5"/>
        <w:widowControl w:val="0"/>
        <w:keepNext w:val="0"/>
        <w:keepLines w:val="0"/>
        <w:shd w:val="clear" w:color="auto" w:fill="auto"/>
        <w:bidi w:val="0"/>
        <w:jc w:val="left"/>
        <w:spacing w:before="0" w:after="0"/>
        <w:ind w:left="4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ФГБУ «НМИЦ колопроктологии имени А.Н. Рыжих» Минздрава России: И.В. Батурина (по дов. №б/н от 27.02.2020), А.А. Маньшина (по дов. №б/н от 27.09.2021),</w:t>
      </w:r>
    </w:p>
    <w:p>
      <w:pPr>
        <w:pStyle w:val="Style5"/>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в отсутствие представителей ООО «Опция» о времени и порядке заседания Комиссии Управления уведомлены надлежащим образом письмом Московского УФАС России от 22.10.2021 № ЕИ/64890/21,</w:t>
      </w:r>
    </w:p>
    <w:p>
      <w:pPr>
        <w:pStyle w:val="Style3"/>
        <w:framePr w:w="1685" w:h="394" w:wrap="around" w:vAnchor="text" w:hAnchor="margin" w:x="385" w:y="79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000944107457</w:t>
      </w:r>
    </w:p>
    <w:p>
      <w:pPr>
        <w:pStyle w:val="Style5"/>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рассмотрев жалобу ООО «Опция» (далее — Заявитель) на действия ФГБУ «НМ</w:t>
      </w:r>
      <w:r>
        <w:rPr>
          <w:rStyle w:val="CharStyle9"/>
        </w:rPr>
        <w:t>ИЦ</w:t>
      </w:r>
      <w:r>
        <w:rPr>
          <w:lang w:val="ru-RU" w:eastAsia="ru-RU" w:bidi="ru-RU"/>
          <w:w w:val="100"/>
          <w:spacing w:val="0"/>
          <w:color w:val="000000"/>
          <w:position w:val="0"/>
        </w:rPr>
        <w:t xml:space="preserve"> колопроктологии имени А.Н. Рыжих» Минздрава России</w:t>
      </w:r>
      <w:r>
        <w:br w:type="page"/>
      </w:r>
    </w:p>
    <w:p>
      <w:pPr>
        <w:pStyle w:val="Style5"/>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(далее — Заказчик) при проведении электронного аукциона на право заключения государственного контракта на поставку расходных материалов для операционного блока (Закупка № 0373100084621000248)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w:t>
      </w:r>
      <w:r>
        <w:rPr>
          <w:rStyle w:val="CharStyle9"/>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304"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22.10.2021 №ЕИ/64890/21, Комиссия Управления установила следующее.</w:t>
      </w:r>
    </w:p>
    <w:p>
      <w:pPr>
        <w:pStyle w:val="Style5"/>
        <w:tabs>
          <w:tab w:leader="none" w:pos="2807" w:val="center"/>
          <w:tab w:leader="none" w:pos="10192" w:val="right"/>
        </w:tabs>
        <w:widowControl w:val="0"/>
        <w:keepNext w:val="0"/>
        <w:keepLines w:val="0"/>
        <w:shd w:val="clear" w:color="auto" w:fill="auto"/>
        <w:bidi w:val="0"/>
        <w:jc w:val="both"/>
        <w:spacing w:before="0" w:after="0" w:line="326" w:lineRule="exact"/>
        <w:ind w:left="20" w:right="0" w:firstLine="680"/>
      </w:pPr>
      <w:r>
        <w:rPr>
          <w:lang w:val="ru-RU" w:eastAsia="ru-RU" w:bidi="ru-RU"/>
          <w:w w:val="100"/>
          <w:spacing w:val="0"/>
          <w:color w:val="000000"/>
          <w:position w:val="0"/>
        </w:rPr>
        <w:t>Согласно</w:t>
        <w:tab/>
        <w:t>протоколу</w:t>
        <w:tab/>
        <w:t>рассмотрения заявок на участие в аукционе</w:t>
      </w:r>
    </w:p>
    <w:p>
      <w:pPr>
        <w:pStyle w:val="Style5"/>
        <w:tabs>
          <w:tab w:leader="none" w:pos="2358" w:val="left"/>
        </w:tabs>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 xml:space="preserve">от 19.10.2021 №0373100084621000248-1 заявка Заявителя (номер заявки 150) признана не соответствующей требованиям аукционной документации на следующем основании: «п. 2 ч. 4 ст. 67 Федерального закона № 44-ФЗ (Участник электронного аукциона не допускается к участию в нем в случае: несоответствия информации, предусмотренной частью 3 статьи 66 Федерального закона № 44-ФЗ, требованиям документации о таком аукционе). 6.3.2. Участник в первой части своей заявки предлагает к поставке «Линейный сшивающе-режущий аппарат, с кассетой синего цвета для стандартной ткани, длина шва 80 мм, </w:t>
      </w:r>
      <w:r>
        <w:rPr>
          <w:lang w:val="en-US" w:eastAsia="en-US" w:bidi="en-US"/>
          <w:w w:val="100"/>
          <w:spacing w:val="0"/>
          <w:color w:val="000000"/>
          <w:position w:val="0"/>
        </w:rPr>
        <w:t xml:space="preserve">REF-1847-VLC- B80-B «VOLKMANN», </w:t>
      </w:r>
      <w:r>
        <w:rPr>
          <w:lang w:val="ru-RU" w:eastAsia="ru-RU" w:bidi="ru-RU"/>
          <w:w w:val="100"/>
          <w:spacing w:val="0"/>
          <w:color w:val="000000"/>
          <w:position w:val="0"/>
        </w:rPr>
        <w:t>несоответствующими требованиям, установленным Заказчиком в описании объекта закупки (техническая часть - глава VI аукционной документации):</w:t>
        <w:tab/>
        <w:t>В связи использованием имеющегося у Заказчика</w:t>
      </w:r>
    </w:p>
    <w:p>
      <w:pPr>
        <w:pStyle w:val="Style5"/>
        <w:tabs>
          <w:tab w:leader="none" w:pos="2807" w:val="center"/>
          <w:tab w:leader="none" w:pos="10192" w:val="right"/>
        </w:tabs>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 xml:space="preserve">специализированного оборудования (Примечание VI. ТЕХНИЧЕСКАЯ ЧАСТЬ ДОКУМЕНТАЦИИ ОБ ЭЛЕКТРОННОМ АУКЦИОНЕ) данные инструменты должны быть совместимы с Кассетами к инструментам сшивающим линейным </w:t>
      </w:r>
      <w:r>
        <w:rPr>
          <w:lang w:val="en-US" w:eastAsia="en-US" w:bidi="en-US"/>
          <w:w w:val="100"/>
          <w:spacing w:val="0"/>
          <w:color w:val="000000"/>
          <w:position w:val="0"/>
        </w:rPr>
        <w:t xml:space="preserve">GIA, </w:t>
      </w:r>
      <w:r>
        <w:rPr>
          <w:lang w:val="ru-RU" w:eastAsia="ru-RU" w:bidi="ru-RU"/>
          <w:w w:val="100"/>
          <w:spacing w:val="0"/>
          <w:color w:val="000000"/>
          <w:position w:val="0"/>
        </w:rPr>
        <w:t>длина шва 80 мм «Ковидиен Ллс», использующимися у Заказчика. Предлагаемые</w:t>
        <w:tab/>
        <w:t>линейно</w:t>
        <w:tab/>
        <w:t xml:space="preserve">сшивающе-режущие аппараты </w:t>
      </w:r>
      <w:r>
        <w:rPr>
          <w:lang w:val="en-US" w:eastAsia="en-US" w:bidi="en-US"/>
          <w:w w:val="100"/>
          <w:spacing w:val="0"/>
          <w:color w:val="000000"/>
          <w:position w:val="0"/>
        </w:rPr>
        <w:t>«VOLKMANN»</w:t>
      </w:r>
    </w:p>
    <w:p>
      <w:pPr>
        <w:pStyle w:val="Style5"/>
        <w:tabs>
          <w:tab w:leader="none" w:pos="2807" w:val="center"/>
          <w:tab w:leader="none" w:pos="10192" w:val="right"/>
        </w:tabs>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 xml:space="preserve">несовместимы с имеющимися у Заказчика Кассетами к инструментам сшивающим линейным </w:t>
      </w:r>
      <w:r>
        <w:rPr>
          <w:lang w:val="en-US" w:eastAsia="en-US" w:bidi="en-US"/>
          <w:w w:val="100"/>
          <w:spacing w:val="0"/>
          <w:color w:val="000000"/>
          <w:position w:val="0"/>
        </w:rPr>
        <w:t xml:space="preserve">GIA, </w:t>
      </w:r>
      <w:r>
        <w:rPr>
          <w:lang w:val="ru-RU" w:eastAsia="ru-RU" w:bidi="ru-RU"/>
          <w:w w:val="100"/>
          <w:spacing w:val="0"/>
          <w:color w:val="000000"/>
          <w:position w:val="0"/>
        </w:rPr>
        <w:t>длина шва 80 мм «Ковидиен Ллс», так как совместимость, а также корректная и</w:t>
        <w:tab/>
        <w:t>безопасная</w:t>
        <w:tab/>
        <w:t xml:space="preserve">работа линейно сшивающе-режущих аппаратов </w:t>
      </w:r>
      <w:r>
        <w:rPr>
          <w:lang w:val="en-US" w:eastAsia="en-US" w:bidi="en-US"/>
          <w:w w:val="100"/>
          <w:spacing w:val="0"/>
          <w:color w:val="000000"/>
          <w:position w:val="0"/>
        </w:rPr>
        <w:t xml:space="preserve">«VOLKMANN» </w:t>
      </w:r>
      <w:r>
        <w:rPr>
          <w:lang w:val="ru-RU" w:eastAsia="ru-RU" w:bidi="ru-RU"/>
          <w:w w:val="100"/>
          <w:spacing w:val="0"/>
          <w:color w:val="000000"/>
          <w:position w:val="0"/>
        </w:rPr>
        <w:t xml:space="preserve">с Кассетами к инструментам сшивающим линейным </w:t>
      </w:r>
      <w:r>
        <w:rPr>
          <w:lang w:val="en-US" w:eastAsia="en-US" w:bidi="en-US"/>
          <w:w w:val="100"/>
          <w:spacing w:val="0"/>
          <w:color w:val="000000"/>
          <w:position w:val="0"/>
        </w:rPr>
        <w:t xml:space="preserve">GIA, </w:t>
      </w:r>
      <w:r>
        <w:rPr>
          <w:lang w:val="ru-RU" w:eastAsia="ru-RU" w:bidi="ru-RU"/>
          <w:w w:val="100"/>
          <w:spacing w:val="0"/>
          <w:color w:val="000000"/>
          <w:position w:val="0"/>
        </w:rPr>
        <w:t xml:space="preserve">длина </w:t>
      </w:r>
      <w:r>
        <w:rPr>
          <w:rStyle w:val="CharStyle9"/>
        </w:rPr>
        <w:t>шв</w:t>
      </w:r>
      <w:r>
        <w:rPr>
          <w:lang w:val="ru-RU" w:eastAsia="ru-RU" w:bidi="ru-RU"/>
          <w:w w:val="100"/>
          <w:spacing w:val="0"/>
          <w:color w:val="000000"/>
          <w:position w:val="0"/>
        </w:rPr>
        <w:t>а. 80 мм «Ковидиен Ллс» не установлена».</w:t>
      </w:r>
    </w:p>
    <w:p>
      <w:pPr>
        <w:pStyle w:val="Style5"/>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5"/>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В соответствии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pPr>
        <w:pStyle w:val="Style5"/>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В соответствии с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Комиссией Управления установлено, что Заказчиком в технической части Аукционной документации установлены требования к товарам, в частности по п. 2 «Степлер линейный ручной режущий для открытых операций, одноразового использования».</w:t>
      </w:r>
    </w:p>
    <w:p>
      <w:pPr>
        <w:pStyle w:val="Style5"/>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ч.3.1 ст. 66 Закона о контрактной системе, должна содержать:</w:t>
      </w:r>
    </w:p>
    <w:p>
      <w:pPr>
        <w:pStyle w:val="Style5"/>
        <w:numPr>
          <w:ilvl w:val="0"/>
          <w:numId w:val="1"/>
        </w:numPr>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5"/>
        <w:numPr>
          <w:ilvl w:val="0"/>
          <w:numId w:val="1"/>
        </w:numPr>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331" w:lineRule="exact"/>
        <w:ind w:left="20" w:right="0" w:firstLine="680"/>
      </w:pPr>
      <w:r>
        <w:rPr>
          <w:lang w:val="ru-RU" w:eastAsia="ru-RU" w:bidi="ru-RU"/>
          <w:w w:val="100"/>
          <w:spacing w:val="0"/>
          <w:color w:val="000000"/>
          <w:position w:val="0"/>
        </w:rPr>
        <w:t>а) наименование страны происхождения товара;</w:t>
      </w:r>
    </w:p>
    <w:p>
      <w:pPr>
        <w:pStyle w:val="Style5"/>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пп. «б» п.2 ч.3 ст.66 Закона о контрактной системе,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 xml:space="preserve">На заседании Комиссии Управления установлено, что в составе первой части заявки участник закупки выразил согласие на поставку товаров на условиях, предусмотренных документацией об аукционе, а также представил сведения о товарах, в частности по п. 2 «Степлер линейный ручной режущий для открытых операций, одноразового использования», «Наименование товара согласно РУ: Линейный сшивающе-режущий аппарат, с кассетой синего цвета для стандартной ткани, длина шва 80 мм, </w:t>
      </w:r>
      <w:r>
        <w:rPr>
          <w:lang w:val="en-US" w:eastAsia="en-US" w:bidi="en-US"/>
          <w:w w:val="100"/>
          <w:spacing w:val="0"/>
          <w:color w:val="000000"/>
          <w:position w:val="0"/>
        </w:rPr>
        <w:t xml:space="preserve">REF-1847-VLC-B80-B», </w:t>
      </w:r>
      <w:r>
        <w:rPr>
          <w:lang w:val="ru-RU" w:eastAsia="ru-RU" w:bidi="ru-RU"/>
          <w:w w:val="100"/>
          <w:spacing w:val="0"/>
          <w:color w:val="000000"/>
          <w:position w:val="0"/>
        </w:rPr>
        <w:t xml:space="preserve">«Товарный знак: </w:t>
      </w:r>
      <w:r>
        <w:rPr>
          <w:lang w:val="en-US" w:eastAsia="en-US" w:bidi="en-US"/>
          <w:w w:val="100"/>
          <w:spacing w:val="0"/>
          <w:color w:val="000000"/>
          <w:position w:val="0"/>
        </w:rPr>
        <w:t xml:space="preserve">VOLKMANN», </w:t>
      </w:r>
      <w:r>
        <w:rPr>
          <w:lang w:val="ru-RU" w:eastAsia="ru-RU" w:bidi="ru-RU"/>
          <w:w w:val="100"/>
          <w:spacing w:val="0"/>
          <w:color w:val="000000"/>
          <w:position w:val="0"/>
        </w:rPr>
        <w:t>«Регистрационное удостоверение: РЗН 2020/11154 от 08.07.2020», «Страна происхождения: Китайская Народная Республика».</w:t>
      </w:r>
    </w:p>
    <w:p>
      <w:pPr>
        <w:pStyle w:val="Style5"/>
        <w:tabs>
          <w:tab w:leader="none" w:pos="2827" w:val="left"/>
        </w:tabs>
        <w:widowControl w:val="0"/>
        <w:keepNext w:val="0"/>
        <w:keepLines w:val="0"/>
        <w:shd w:val="clear" w:color="auto" w:fill="auto"/>
        <w:bidi w:val="0"/>
        <w:jc w:val="both"/>
        <w:spacing w:before="0" w:after="0" w:line="326" w:lineRule="exact"/>
        <w:ind w:left="20" w:right="0" w:firstLine="700"/>
      </w:pPr>
      <w:r>
        <w:rPr>
          <w:lang w:val="ru-RU" w:eastAsia="ru-RU" w:bidi="ru-RU"/>
          <w:w w:val="100"/>
          <w:spacing w:val="0"/>
          <w:color w:val="000000"/>
          <w:position w:val="0"/>
        </w:rPr>
        <w:t>Согласно ч.2</w:t>
        <w:tab/>
        <w:t>ст.106 лица, права и законные интересы которых</w:t>
      </w:r>
    </w:p>
    <w:p>
      <w:pPr>
        <w:pStyle w:val="Style5"/>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 xml:space="preserve">На заседании Комиссии Управления представители Заказчика пояснили, что предложенный в составе заявки степлер линейный ручной режущий для открытых операций, одноразового использования с товарным знаком </w:t>
      </w:r>
      <w:r>
        <w:rPr>
          <w:lang w:val="en-US" w:eastAsia="en-US" w:bidi="en-US"/>
          <w:w w:val="100"/>
          <w:spacing w:val="0"/>
          <w:color w:val="000000"/>
          <w:position w:val="0"/>
        </w:rPr>
        <w:t xml:space="preserve">VOLKMANN </w:t>
      </w:r>
      <w:r>
        <w:rPr>
          <w:lang w:val="ru-RU" w:eastAsia="ru-RU" w:bidi="ru-RU"/>
          <w:w w:val="100"/>
          <w:spacing w:val="0"/>
          <w:color w:val="000000"/>
          <w:position w:val="0"/>
        </w:rPr>
        <w:t xml:space="preserve">не соответствует потребностям Заказчика, поскольку в рамках данной закупки Заказчику необходима продукция производителя </w:t>
      </w:r>
      <w:r>
        <w:rPr>
          <w:lang w:val="en-US" w:eastAsia="en-US" w:bidi="en-US"/>
          <w:w w:val="100"/>
          <w:spacing w:val="0"/>
          <w:color w:val="000000"/>
          <w:position w:val="0"/>
        </w:rPr>
        <w:t>Covidien.</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Вместе с тем Комиссия Управления отмечает, что из аукционной документации не следует прямого указания на то, что к поставке необходимы расходные материалы конкретного производителя.</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В свою очередь, возражения, что предложенные Заявителем значения каким-либо образом противоречат требованиям аукционной документации, Заказчиком не представлены.</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Таким образом, Комиссия Управления приходит к выводу, что заявка Заявителя в части оспариваемой позиции соответствует требованиям аукционной документации.</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Ч.4 ст. 67 Закона о контрактной системе установлено, что участник электронного аукциона не допускается к участию в нем в случае:</w:t>
      </w:r>
    </w:p>
    <w:p>
      <w:pPr>
        <w:pStyle w:val="Style5"/>
        <w:numPr>
          <w:ilvl w:val="0"/>
          <w:numId w:val="3"/>
        </w:numPr>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5"/>
        <w:numPr>
          <w:ilvl w:val="0"/>
          <w:numId w:val="3"/>
        </w:numPr>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В соответствие с ч.5 ст.67 Закона о контрактной системе отказ в допуске к участию в электронном аукционе по основаниям, не предусмотренным</w:t>
      </w:r>
    </w:p>
    <w:p>
      <w:pPr>
        <w:pStyle w:val="Style5"/>
        <w:numPr>
          <w:ilvl w:val="0"/>
          <w:numId w:val="5"/>
        </w:numPr>
        <w:tabs>
          <w:tab w:leader="none" w:pos="491" w:val="left"/>
        </w:tabs>
        <w:widowControl w:val="0"/>
        <w:keepNext w:val="0"/>
        <w:keepLines w:val="0"/>
        <w:shd w:val="clear" w:color="auto" w:fill="auto"/>
        <w:bidi w:val="0"/>
        <w:jc w:val="both"/>
        <w:spacing w:before="0" w:after="0" w:line="326" w:lineRule="exact"/>
        <w:ind w:left="20" w:right="0" w:firstLine="0"/>
      </w:pPr>
      <w:r>
        <w:rPr>
          <w:lang w:val="ru-RU" w:eastAsia="ru-RU" w:bidi="ru-RU"/>
          <w:w w:val="100"/>
          <w:spacing w:val="0"/>
          <w:color w:val="000000"/>
          <w:position w:val="0"/>
        </w:rPr>
        <w:t>ст. 67 Закона о контрактной системе, не допускается.</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Таким образом, действия аукционной комиссии Заказчика в части отказа в допуске Заявителю к участию в электронном аукционе по основаниям, указанным в протоколе рассмотрения заявок на участие в электронном аукционе, нарушают положения ч.5 ст.67 Закона о контрактной системе, а также содержит признаки состава административного правонарушения, ответственность за которое предусмотрена ч.2 ст.7.30 Кодекса об административных правонарушениях</w:t>
      </w:r>
    </w:p>
    <w:p>
      <w:pPr>
        <w:pStyle w:val="Style5"/>
        <w:widowControl w:val="0"/>
        <w:keepNext w:val="0"/>
        <w:keepLines w:val="0"/>
        <w:shd w:val="clear" w:color="auto" w:fill="auto"/>
        <w:bidi w:val="0"/>
        <w:jc w:val="both"/>
        <w:spacing w:before="0" w:after="346" w:line="317" w:lineRule="exact"/>
        <w:ind w:left="2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10"/>
        <w:widowControl w:val="0"/>
        <w:keepNext/>
        <w:keepLines/>
        <w:shd w:val="clear" w:color="auto" w:fill="auto"/>
        <w:bidi w:val="0"/>
        <w:spacing w:before="0" w:after="307"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7"/>
        </w:numPr>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 xml:space="preserve"> Признать жалобу ООО «Опция» на действия аукционной комиссии ФГБУ «НМ</w:t>
      </w:r>
      <w:r>
        <w:rPr>
          <w:rStyle w:val="CharStyle9"/>
        </w:rPr>
        <w:t>ИЦ</w:t>
      </w:r>
      <w:r>
        <w:rPr>
          <w:lang w:val="ru-RU" w:eastAsia="ru-RU" w:bidi="ru-RU"/>
          <w:w w:val="100"/>
          <w:spacing w:val="0"/>
          <w:color w:val="000000"/>
          <w:position w:val="0"/>
        </w:rPr>
        <w:t xml:space="preserve"> колопроктологии имени А.Н. Рыжих» Минздрава России обоснованной.</w:t>
      </w:r>
    </w:p>
    <w:p>
      <w:pPr>
        <w:pStyle w:val="Style5"/>
        <w:numPr>
          <w:ilvl w:val="0"/>
          <w:numId w:val="7"/>
        </w:numPr>
        <w:widowControl w:val="0"/>
        <w:keepNext w:val="0"/>
        <w:keepLines w:val="0"/>
        <w:shd w:val="clear" w:color="auto" w:fill="auto"/>
        <w:bidi w:val="0"/>
        <w:jc w:val="both"/>
        <w:spacing w:before="0" w:after="0" w:line="317" w:lineRule="exact"/>
        <w:ind w:left="20" w:right="0" w:firstLine="680"/>
      </w:pPr>
      <w:r>
        <w:rPr>
          <w:lang w:val="ru-RU" w:eastAsia="ru-RU" w:bidi="ru-RU"/>
          <w:w w:val="100"/>
          <w:spacing w:val="0"/>
          <w:color w:val="000000"/>
          <w:position w:val="0"/>
        </w:rPr>
        <w:t xml:space="preserve"> Признать в действиях аукционной комиссии Заказчика нарушение</w:t>
      </w:r>
    </w:p>
    <w:p>
      <w:pPr>
        <w:pStyle w:val="Style5"/>
        <w:numPr>
          <w:ilvl w:val="0"/>
          <w:numId w:val="5"/>
        </w:numPr>
        <w:tabs>
          <w:tab w:leader="none" w:pos="527"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ст.67 Закона о контрактной системе.</w:t>
      </w:r>
    </w:p>
    <w:p>
      <w:pPr>
        <w:pStyle w:val="Style5"/>
        <w:numPr>
          <w:ilvl w:val="0"/>
          <w:numId w:val="7"/>
        </w:numPr>
        <w:tabs>
          <w:tab w:leader="none" w:pos="2103" w:val="center"/>
          <w:tab w:leader="none" w:pos="4695" w:val="right"/>
          <w:tab w:leader="none" w:pos="5358" w:val="center"/>
          <w:tab w:leader="none" w:pos="6030" w:val="left"/>
        </w:tabs>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 контрактной системе Заказчику не выдавать, поскольку выдано ранее в рамках рассмотрения жалобы ООО «Ренессанс-Мед» по делу от 21.08.2021 №</w:t>
        <w:tab/>
        <w:t>077/06/106-19178/2021.</w:t>
        <w:tab/>
        <w:t>Кроме</w:t>
        <w:tab/>
        <w:t>того</w:t>
        <w:tab/>
        <w:t>при исполнении предписания</w:t>
      </w:r>
    </w:p>
    <w:p>
      <w:pPr>
        <w:pStyle w:val="Style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по вышеуказанному делу Заказчику необходимо руководствоваться также позицией контролирующего органа, изложенной в настоящем решении.</w:t>
      </w:r>
    </w:p>
    <w:p>
      <w:pPr>
        <w:pStyle w:val="Style5"/>
        <w:numPr>
          <w:ilvl w:val="0"/>
          <w:numId w:val="7"/>
        </w:numPr>
        <w:widowControl w:val="0"/>
        <w:keepNext w:val="0"/>
        <w:keepLines w:val="0"/>
        <w:shd w:val="clear" w:color="auto" w:fill="auto"/>
        <w:bidi w:val="0"/>
        <w:jc w:val="both"/>
        <w:spacing w:before="0" w:after="304" w:line="317" w:lineRule="exact"/>
        <w:ind w:left="2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35" w:line="312" w:lineRule="exact"/>
        <w:ind w:left="20" w:right="20" w:firstLine="68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tabs>
          <w:tab w:leader="none" w:pos="10155" w:val="right"/>
          <w:tab w:leader="none" w:pos="1014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Е.А.</w:t>
        <w:tab/>
        <w:t>Миронова</w:t>
      </w:r>
    </w:p>
    <w:p>
      <w:pPr>
        <w:pStyle w:val="Style5"/>
        <w:tabs>
          <w:tab w:leader="none" w:pos="8871" w:val="right"/>
          <w:tab w:leader="none" w:pos="10155"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2231" w:line="643" w:lineRule="exact"/>
        <w:ind w:left="0" w:right="20" w:firstLine="0"/>
      </w:pPr>
      <w:r>
        <w:rPr>
          <w:lang w:val="ru-RU" w:eastAsia="ru-RU" w:bidi="ru-RU"/>
          <w:w w:val="100"/>
          <w:spacing w:val="0"/>
          <w:color w:val="000000"/>
          <w:position w:val="0"/>
        </w:rPr>
        <w:t>Е.О. Сгибнев</w:t>
      </w:r>
    </w:p>
    <w:p>
      <w:pPr>
        <w:pStyle w:val="Style12"/>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Касимова А.З. тел. 8 495-784-75-05</w:t>
      </w:r>
    </w:p>
    <w:sectPr>
      <w:footnotePr>
        <w:pos w:val="pageBottom"/>
        <w:numFmt w:val="decimal"/>
        <w:numRestart w:val="continuous"/>
      </w:footnotePr>
      <w:type w:val="continuous"/>
      <w:pgSz w:w="11906" w:h="16838"/>
      <w:pgMar w:top="1118"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4"/>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54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186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