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4"/>
        <w:ind w:left="5340" w:right="320" w:firstLine="0"/>
      </w:pPr>
      <w:r>
        <w:rPr>
          <w:lang w:val="ru-RU" w:eastAsia="ru-RU" w:bidi="ru-RU"/>
          <w:w w:val="100"/>
          <w:spacing w:val="0"/>
          <w:color w:val="000000"/>
          <w:position w:val="0"/>
        </w:rPr>
        <w:t>Департамент города Москвы по конкурентной политике</w:t>
      </w:r>
    </w:p>
    <w:p>
      <w:pPr>
        <w:pStyle w:val="Style5"/>
        <w:widowControl w:val="0"/>
        <w:keepNext w:val="0"/>
        <w:keepLines w:val="0"/>
        <w:shd w:val="clear" w:color="auto" w:fill="auto"/>
        <w:bidi w:val="0"/>
        <w:jc w:val="left"/>
        <w:spacing w:before="0" w:after="39" w:line="317" w:lineRule="exact"/>
        <w:ind w:left="5340" w:right="320" w:firstLine="0"/>
      </w:pPr>
      <w:r>
        <w:rPr>
          <w:lang w:val="ru-RU" w:eastAsia="ru-RU" w:bidi="ru-RU"/>
          <w:w w:val="100"/>
          <w:spacing w:val="0"/>
          <w:color w:val="000000"/>
          <w:position w:val="0"/>
        </w:rPr>
        <w:t>ул. Макаренко, д. 4, стр. 1, г. Москва, 105062</w:t>
      </w:r>
    </w:p>
    <w:p>
      <w:pPr>
        <w:pStyle w:val="Style5"/>
        <w:widowControl w:val="0"/>
        <w:keepNext w:val="0"/>
        <w:keepLines w:val="0"/>
        <w:shd w:val="clear" w:color="auto" w:fill="auto"/>
        <w:bidi w:val="0"/>
        <w:jc w:val="left"/>
        <w:spacing w:before="0" w:after="0" w:line="643" w:lineRule="exact"/>
        <w:ind w:left="40" w:right="0" w:firstLine="5300"/>
      </w:pPr>
      <w:r>
        <w:rPr>
          <w:lang w:val="ru-RU" w:eastAsia="ru-RU" w:bidi="ru-RU"/>
          <w:w w:val="100"/>
          <w:spacing w:val="0"/>
          <w:color w:val="000000"/>
          <w:position w:val="0"/>
        </w:rPr>
        <w:t>ГБУ Социальный дом «Дегунино»</w:t>
      </w:r>
    </w:p>
    <w:p>
      <w:pPr>
        <w:pStyle w:val="Style5"/>
        <w:widowControl w:val="0"/>
        <w:keepNext w:val="0"/>
        <w:keepLines w:val="0"/>
        <w:shd w:val="clear" w:color="auto" w:fill="auto"/>
        <w:bidi w:val="0"/>
        <w:jc w:val="left"/>
        <w:spacing w:before="0" w:after="0" w:line="643" w:lineRule="exact"/>
        <w:ind w:left="40" w:right="0" w:firstLine="5300"/>
      </w:pPr>
      <w:r>
        <w:rPr>
          <w:lang w:val="ru-RU" w:eastAsia="ru-RU" w:bidi="ru-RU"/>
          <w:w w:val="100"/>
          <w:spacing w:val="0"/>
          <w:color w:val="000000"/>
          <w:position w:val="0"/>
        </w:rPr>
        <w:t>ул. Талдомская, д. 6, г. Москва, 125412</w:t>
      </w:r>
    </w:p>
    <w:p>
      <w:pPr>
        <w:pStyle w:val="Style5"/>
        <w:widowControl w:val="0"/>
        <w:keepNext w:val="0"/>
        <w:keepLines w:val="0"/>
        <w:shd w:val="clear" w:color="auto" w:fill="auto"/>
        <w:bidi w:val="0"/>
        <w:jc w:val="left"/>
        <w:spacing w:before="0" w:after="0" w:line="643" w:lineRule="exact"/>
        <w:ind w:left="40" w:right="0" w:firstLine="5300"/>
      </w:pPr>
      <w:r>
        <w:rPr>
          <w:lang w:val="ru-RU" w:eastAsia="ru-RU" w:bidi="ru-RU"/>
          <w:w w:val="100"/>
          <w:spacing w:val="0"/>
          <w:color w:val="000000"/>
          <w:position w:val="0"/>
        </w:rPr>
        <w:t>ООО ЧОО «Охрана 24»</w:t>
      </w:r>
    </w:p>
    <w:p>
      <w:pPr>
        <w:pStyle w:val="Style7"/>
        <w:tabs>
          <w:tab w:leader="none" w:pos="8992" w:val="left"/>
        </w:tabs>
        <w:widowControl w:val="0"/>
        <w:keepNext w:val="0"/>
        <w:keepLines w:val="0"/>
        <w:shd w:val="clear" w:color="auto" w:fill="auto"/>
        <w:bidi w:val="0"/>
        <w:jc w:val="left"/>
        <w:spacing w:before="0" w:after="0"/>
        <w:ind w:left="40" w:right="20" w:firstLine="5300"/>
      </w:pPr>
      <w:r>
        <w:rPr>
          <w:rStyle w:val="CharStyle9"/>
          <w:b w:val="0"/>
          <w:bCs w:val="0"/>
        </w:rPr>
        <w:t xml:space="preserve">ул. Б. Грузинская, д. 60, стр. 1 эт. 3, пом.1, комн.1, оф. 5, г. Москва, 123056 </w:t>
      </w:r>
      <w:r>
        <w:rPr>
          <w:lang w:val="ru-RU" w:eastAsia="ru-RU" w:bidi="ru-RU"/>
          <w:w w:val="100"/>
          <w:spacing w:val="0"/>
          <w:color w:val="000000"/>
          <w:position w:val="0"/>
        </w:rPr>
        <w:t>РЕШЕНИЕ по делу №077/06/106-19069/2021 о нарушении законодательства о контрактной системе 27.10.2021</w:t>
        <w:tab/>
        <w:t>г. Москва</w:t>
      </w:r>
    </w:p>
    <w:p>
      <w:pPr>
        <w:pStyle w:val="Style5"/>
        <w:widowControl w:val="0"/>
        <w:keepNext w:val="0"/>
        <w:keepLines w:val="0"/>
        <w:shd w:val="clear" w:color="auto" w:fill="auto"/>
        <w:bidi w:val="0"/>
        <w:jc w:val="both"/>
        <w:spacing w:before="0" w:after="0" w:line="326" w:lineRule="exact"/>
        <w:ind w:left="4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6" w:lineRule="exact"/>
        <w:ind w:left="40" w:right="20" w:firstLine="56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6" w:lineRule="exact"/>
        <w:ind w:left="4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36" w:lineRule="exact"/>
        <w:ind w:left="40" w:right="20" w:firstLine="56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36" w:lineRule="exact"/>
        <w:ind w:left="40" w:right="20" w:firstLine="56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tabs>
          <w:tab w:leader="none" w:pos="582" w:val="left"/>
        </w:tabs>
        <w:widowControl w:val="0"/>
        <w:keepNext w:val="0"/>
        <w:keepLines w:val="0"/>
        <w:shd w:val="clear" w:color="auto" w:fill="auto"/>
        <w:bidi w:val="0"/>
        <w:jc w:val="both"/>
        <w:spacing w:before="0" w:after="0" w:line="336" w:lineRule="exact"/>
        <w:ind w:left="40" w:right="20" w:firstLine="56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36"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ind w:left="40" w:right="0" w:firstLine="56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ind w:left="40" w:right="0" w:firstLine="560"/>
      </w:pPr>
      <w:r>
        <w:rPr>
          <w:lang w:val="ru-RU" w:eastAsia="ru-RU" w:bidi="ru-RU"/>
          <w:w w:val="100"/>
          <w:spacing w:val="0"/>
          <w:color w:val="000000"/>
          <w:position w:val="0"/>
        </w:rPr>
        <w:t>ГБУ Социальный дом «Дегунино»: Кузищина И.А.,</w:t>
      </w:r>
    </w:p>
    <w:p>
      <w:pPr>
        <w:pStyle w:val="Style5"/>
        <w:widowControl w:val="0"/>
        <w:keepNext w:val="0"/>
        <w:keepLines w:val="0"/>
        <w:shd w:val="clear" w:color="auto" w:fill="auto"/>
        <w:bidi w:val="0"/>
        <w:jc w:val="both"/>
        <w:spacing w:before="0" w:after="0"/>
        <w:ind w:left="40" w:right="0" w:firstLine="560"/>
      </w:pPr>
      <w:r>
        <w:rPr>
          <w:lang w:val="ru-RU" w:eastAsia="ru-RU" w:bidi="ru-RU"/>
          <w:w w:val="100"/>
          <w:spacing w:val="0"/>
          <w:color w:val="000000"/>
          <w:position w:val="0"/>
        </w:rPr>
        <w:t>Департамента города Москвы по конкурентной политике: Богдановой Е.В.,</w:t>
      </w:r>
    </w:p>
    <w:p>
      <w:pPr>
        <w:pStyle w:val="Style5"/>
        <w:widowControl w:val="0"/>
        <w:keepNext w:val="0"/>
        <w:keepLines w:val="0"/>
        <w:shd w:val="clear" w:color="auto" w:fill="auto"/>
        <w:bidi w:val="0"/>
        <w:jc w:val="both"/>
        <w:spacing w:before="0" w:after="0"/>
        <w:ind w:left="40" w:right="0" w:firstLine="560"/>
      </w:pPr>
      <w:r>
        <w:rPr>
          <w:lang w:val="ru-RU" w:eastAsia="ru-RU" w:bidi="ru-RU"/>
          <w:w w:val="100"/>
          <w:spacing w:val="0"/>
          <w:color w:val="000000"/>
          <w:position w:val="0"/>
        </w:rPr>
        <w:t>ООО ЧОО «Охрана 24»: Садолиной А.В.,</w:t>
      </w:r>
    </w:p>
    <w:p>
      <w:pPr>
        <w:pStyle w:val="Style3"/>
        <w:framePr w:w="1685" w:h="394" w:wrap="around" w:vAnchor="text" w:hAnchor="margin" w:x="385" w:y="208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001710891411</w:t>
      </w:r>
    </w:p>
    <w:p>
      <w:pPr>
        <w:pStyle w:val="Style5"/>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рассмотрев жалобу ООО ЧОО «Охрана 24» (далее — Заявитель) на действия ГБУ Социальный дом «Дегунино» (далее — Заказчик) при проведении открытого конкурса в электронной форме на право заключения государственного контракта на оказание услуг по охране объектов (Закупка № 0173200001421001435) (далее - конкурс) в соответствии с Федеральным законом от 05.04.2013 №44-ФЗ «О контрактной системе в сфере закупок товаров, работ, услуг для обеспечения</w:t>
      </w:r>
      <w:r>
        <w:br w:type="page"/>
      </w:r>
    </w:p>
    <w:p>
      <w:pPr>
        <w:pStyle w:val="Style5"/>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государственных и муниципальных нужд» (далее - Закон о контрактной системе, Федеральный закон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10"/>
        <w:widowControl w:val="0"/>
        <w:keepNext/>
        <w:keepLines/>
        <w:shd w:val="clear" w:color="auto" w:fill="auto"/>
        <w:bidi w:val="0"/>
        <w:spacing w:before="0" w:after="308"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22.10.2021 № ЕИ/64902/21.</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Заявитель в жалобе указывает на установление в конкурсной документации неправомерного порядка оценки заявок участников закупки по показателю «Опыт участника по успешной поставке товаров, выполнению работ, оказанию услуг сопоставимого характера и объема»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tabs>
          <w:tab w:leader="none" w:pos="3356" w:val="left"/>
        </w:tabs>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Согласно п.8 ч.1</w:t>
        <w:tab/>
        <w:t>ст.54.3 Закона о контрактной системе конкурсная</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5"/>
        <w:numPr>
          <w:ilvl w:val="0"/>
          <w:numId w:val="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цена контракта;</w:t>
      </w:r>
    </w:p>
    <w:p>
      <w:pPr>
        <w:pStyle w:val="Style5"/>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5"/>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5"/>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соответствии с конкурсной документацией оценка заявок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соответствии с п.27 (2) Правил оценки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pPr>
        <w:pStyle w:val="Style5"/>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а) общая стоимость исполненных контрактов (договоров);</w:t>
      </w:r>
    </w:p>
    <w:p>
      <w:pPr>
        <w:pStyle w:val="Style5"/>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б) общее количество исполненных контрактов (договоров);</w:t>
      </w:r>
    </w:p>
    <w:p>
      <w:pPr>
        <w:pStyle w:val="Style5"/>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в) наибольшая цена одного из исполненных контрактов (договоров).</w:t>
      </w:r>
    </w:p>
    <w:p>
      <w:pPr>
        <w:pStyle w:val="Style5"/>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Комиссией Управления установлено, что конкурсной документации</w:t>
      </w:r>
    </w:p>
    <w:p>
      <w:pPr>
        <w:pStyle w:val="Style5"/>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установлен следующий порядок оценки заявок по показателю «Опыт участника по успешной поставке товаров, выполнению работ, оказанию услуг»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«Коэффициент значимости (КЗ) =1</w:t>
      </w:r>
    </w:p>
    <w:p>
      <w:pPr>
        <w:pStyle w:val="Style5"/>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Максимальная оценка по показателю -100.0 баллов.</w:t>
      </w:r>
    </w:p>
    <w:p>
      <w:pPr>
        <w:pStyle w:val="Style5"/>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Содержание:</w:t>
      </w:r>
    </w:p>
    <w:p>
      <w:pPr>
        <w:pStyle w:val="Style7"/>
        <w:widowControl w:val="0"/>
        <w:keepNext w:val="0"/>
        <w:keepLines w:val="0"/>
        <w:shd w:val="clear" w:color="auto" w:fill="auto"/>
        <w:bidi w:val="0"/>
        <w:jc w:val="both"/>
        <w:spacing w:before="0" w:after="0" w:line="322" w:lineRule="exact"/>
        <w:ind w:left="0" w:right="20" w:firstLine="700"/>
      </w:pPr>
      <w:r>
        <w:rPr>
          <w:rStyle w:val="CharStyle9"/>
          <w:b w:val="0"/>
          <w:bCs w:val="0"/>
        </w:rPr>
        <w:t xml:space="preserve">Оценивается предложение участника об объемах исполненных участником контрактов (договоров) за последние 3 года, предшествующие дате начала подачи заявок на участие в настоящем конкурсе, </w:t>
      </w:r>
      <w:r>
        <w:rPr>
          <w:lang w:val="ru-RU" w:eastAsia="ru-RU" w:bidi="ru-RU"/>
          <w:w w:val="100"/>
          <w:spacing w:val="0"/>
          <w:color w:val="000000"/>
          <w:position w:val="0"/>
        </w:rPr>
        <w:t>без нарушений сроков и иных нарушений условий контракта (договора) по вине участника (оценивается суммарный объем оказанных услуг сопоставимого характера и объема, исчисляемый в рублях).</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Под услугами сопоставимого характера и объема понимается оказание услуг охраны объектов и (или) имущества, стоимость которых по одному контракту (договору) составляет не менее 20 (двадцати) процентов от начальной (максимальной) цены контракта по настоящей закупке.</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Сведения о наличии опыта участника подтверждаются копиями государственных контрактов (с актами оказанных услуг), заключенных в соответствии с Федеральным законом от 05.04.2013 № 44-ФЗ, гражданско-правовых договоров (с актами оказанных услуг), заключенных в соответствии с Федеральным законом от 18.07.2011 № 223-ФЗ, содержащих сведения о стоимости оказанных услуг.</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Представленные участником закупки контракты, исполнение которых не подтверждено документально, не учитываются при оценке.</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(договоров), а также актов оказанных услуг).</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При этом представленные документы должны быть в виде неповторяющихся, полно читаемых копий, на которых видны необходимые сведения, подписи и печати.</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 xml:space="preserve">В случае если контракты заключены в электронной форме, опыт может быть подтвержден размещенными на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опыта участника закупки по успешной поставке товара, выполнению работ, оказанию услуг сопоставимого характера и объема», содержащей данные о номере контракта, дате заключения, предмете, сумме контракта, дате исполнения контракта.</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Рекомендуемая форма «Сводные сведения о наличии опыта участника закупки по успешной поставке товара, выполнению работ, оказанию услуг сопоставимого характера и объема» приведена в Приложении к настоящим критериям оценки заявок участников закупки.</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 xml:space="preserve">Непредставление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 при предоставлении копий контрактов (договоров) в соответствии с порядком оценки либо информацией, размещенной на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в случае предоставления сведений об опыте по форме «Сводные сведения о наличии опыта участника закупки по успешной поставке товара, выполнению работ, оказанию услуг сопоставимого характера и объема».</w:t>
      </w:r>
    </w:p>
    <w:p>
      <w:pPr>
        <w:pStyle w:val="Style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Порядок оценки: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Количество баллов, присуждаемых по показателю (</w:t>
      </w:r>
      <w:r>
        <w:rPr>
          <w:rStyle w:val="CharStyle12"/>
        </w:rPr>
        <w:t>НЦБ</w:t>
      </w:r>
      <w:r>
        <w:rPr>
          <w:rStyle w:val="CharStyle13"/>
        </w:rPr>
        <w:t>1</w:t>
      </w:r>
      <w:r>
        <w:rPr>
          <w:lang w:val="ru-RU" w:eastAsia="ru-RU" w:bidi="ru-RU"/>
          <w:w w:val="100"/>
          <w:spacing w:val="0"/>
          <w:color w:val="000000"/>
          <w:position w:val="0"/>
        </w:rPr>
        <w:t xml:space="preserve">), определяется по формуле: </w:t>
      </w:r>
      <w:r>
        <w:rPr>
          <w:lang w:val="en-US" w:eastAsia="en-US" w:bidi="en-US"/>
          <w:w w:val="100"/>
          <w:spacing w:val="0"/>
          <w:color w:val="000000"/>
          <w:position w:val="0"/>
        </w:rPr>
        <w:t xml:space="preserve">HUEi </w:t>
      </w:r>
      <w:r>
        <w:rPr>
          <w:lang w:val="ru-RU" w:eastAsia="ru-RU" w:bidi="ru-RU"/>
          <w:w w:val="100"/>
          <w:spacing w:val="0"/>
          <w:color w:val="000000"/>
          <w:position w:val="0"/>
        </w:rPr>
        <w:t>= КЗ * 100 * (К / Ктах),</w:t>
      </w:r>
    </w:p>
    <w:p>
      <w:pPr>
        <w:pStyle w:val="Style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где:</w:t>
      </w:r>
    </w:p>
    <w:p>
      <w:pPr>
        <w:pStyle w:val="Style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 - предложение участника закупки, заявка (предложение) которого оценивается;</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Ктах - максимальное предложение из предложений по показателю оценки, сделанных участниками закупки.</w:t>
      </w:r>
    </w:p>
    <w:p>
      <w:pPr>
        <w:pStyle w:val="Style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Оценка в 0 баллов по показателю будет присвоена:</w:t>
      </w:r>
    </w:p>
    <w:p>
      <w:pPr>
        <w:pStyle w:val="Style5"/>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участнику закупки, который не имеет опыта сопоставимого характера и объема;</w:t>
      </w:r>
    </w:p>
    <w:p>
      <w:pPr>
        <w:pStyle w:val="Style5"/>
        <w:numPr>
          <w:ilvl w:val="0"/>
          <w:numId w:val="3"/>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участнику закупки, который не представил в составе своей заявки документы (копии документов), подтверждающие сведения о наличии опыта по успешному оказанию услуг сопоставимого характера и объема за указанный в показателе период».</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составе жалобы Заявитель указывает, что требование порядка оценки об отсутствии применения мер ответственности за неисполнение (ненадлежащее исполнение) обязательств не позволяет участникам закупки получить максимальное количество баллов, поскольку применение штрафа, неустоек, пеней за нарушение условий контракта (договора), представленного участником к оценке, по мнению Заявителя, не является надлежащим подтверждением отсутствия у участника закупки соответствующего опыта.</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отмечает, что согласно положениям порядка оценки по показателю «Опыт участника по успешной поставке товаров, выполнению работ, оказанию услуг» нестоимостного критерия оценки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под успешным выполнением работ понимается исполнение участником закупки контрактов без нарушений сроков и иных нарушений условий контракта (договора) по вине участника (оценивается суммарный объем оказанных услуг сопоставимого характера и объема, исчисляемый в рублях).</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п.3 Правил оценка - процесс выявления по критериям оценки и в порядке, установленном в документации о закупке, лу</w:t>
      </w:r>
      <w:r>
        <w:rPr>
          <w:rStyle w:val="CharStyle12"/>
        </w:rPr>
        <w:t>чши</w:t>
      </w:r>
      <w:r>
        <w:rPr>
          <w:lang w:val="ru-RU" w:eastAsia="ru-RU" w:bidi="ru-RU"/>
          <w:w w:val="100"/>
          <w:spacing w:val="0"/>
          <w:color w:val="000000"/>
          <w:position w:val="0"/>
        </w:rPr>
        <w:t>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для Заказчика лучшим опытом выполнения работ является опыт без применения к участнику штрафов и пеней, как, например, по причине задержки сдачи объекта или поставки товара ненадлежащего качества, что в свою очередь свидетельствует о добросовестности исполнения работ. Одновременно с этим добросовестность участника закупки, а следовательно и добросовестное исполнения обязательств описывается положениями ч.3 ст.37 Закона о контрактной системе где указано, что к информации, подтверждающей добросовестность участника закупки, относится информация, в том числе, о контрактах, исполненных без применения к такому участнику неустоек (штрафов, пеней).</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в случае отсутствия в порядке оценки условия о том, что представляемые участниками контракты должны быть исполнены без применения к таким участникам штрафов/пеней/неустоек, при рассмотрении заявок участник закупки, предоставивший 10 контрактов без применения к нему неустоек/ штрафов/пеней, находится в равных условиях с участником, предложившим также 10 контрактов на сопоставимую сумму, но имеющим по всем представленным контрактам начисленные неустойки/штрафы/пени.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в случае приемки к учету контрактов, в рамках исполнения которых к участнику применялись штрафы, такой участник ставится в равные условия с участниками, к которым такие штрафы не применялись в рамках исполненных ими контрактов, что в свою очередь уже не позволяет говорить о том, что в данном случае оценка направлена на выявление луч</w:t>
      </w:r>
      <w:r>
        <w:rPr>
          <w:rStyle w:val="CharStyle12"/>
        </w:rPr>
        <w:t>ши</w:t>
      </w:r>
      <w:r>
        <w:rPr>
          <w:lang w:val="ru-RU" w:eastAsia="ru-RU" w:bidi="ru-RU"/>
          <w:w w:val="100"/>
          <w:spacing w:val="0"/>
          <w:color w:val="000000"/>
          <w:position w:val="0"/>
        </w:rPr>
        <w:t>х условий исполнения контракта и как следствие не отвечает общему определению понятия «оценка» заложенному в об</w:t>
      </w:r>
      <w:r>
        <w:rPr>
          <w:rStyle w:val="CharStyle12"/>
        </w:rPr>
        <w:t>щи</w:t>
      </w:r>
      <w:r>
        <w:rPr>
          <w:lang w:val="ru-RU" w:eastAsia="ru-RU" w:bidi="ru-RU"/>
          <w:w w:val="100"/>
          <w:spacing w:val="0"/>
          <w:color w:val="000000"/>
          <w:position w:val="0"/>
        </w:rPr>
        <w:t>х определениях Правил (п.3 Правил).</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вышеизложенного, поскольку Заказчик очевидно обязан раскрыть определения «сопоставимого характера», «сопоставимого объема», «успешного выполнения» для надлежащего описания порядка оценки с целью выявления лу</w:t>
      </w:r>
      <w:r>
        <w:rPr>
          <w:rStyle w:val="CharStyle12"/>
        </w:rPr>
        <w:t>чш</w:t>
      </w:r>
      <w:r>
        <w:rPr>
          <w:lang w:val="ru-RU" w:eastAsia="ru-RU" w:bidi="ru-RU"/>
          <w:w w:val="100"/>
          <w:spacing w:val="0"/>
          <w:color w:val="000000"/>
          <w:position w:val="0"/>
        </w:rPr>
        <w:t>их условий исполнения контракта, Комиссии Управления не представляется возможным прийти к выводу о том, что раскрытие Заказчиком в порядке оценки успешного выполнения (без нарушений сроков и иных нарушений условий контракта (договора) по вине участника (оценивается суммарный объем оказанных услуг сопоставимого характера и объема, исчисляемый в рублях) является нарушением норм действующего законодательства.</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ч.9 ст.105 Закона о контрактной системе обязанность доказывания нарушения Заказчиком своих прав и законных интересов лежит на подателе жалобы, однако на заседании Комиссии Управления, а так же в составе жалобы Заявителем не представлено документов и сведений, свидетельствующих о нарушении Заказчиком норм действующего законодательства, а именно, Заявителем не представлено документов и сведений однозначно свидетельствующих о том, что установленный порядок оценки является неправомерным, не позволяет выявить наилучшее предложение условий исполнения контрактов при проведении закупки, оставляет оценку заявок на субъективное усмотрение конкурсной комиссии Заказчика или каким-либо иным образом нарушает требования Закона о контрактной системе.</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что требование порядка оценки по показателю «Опыт участника по успешной поставке товаров, выполнению работ, оказанию услуг» об отсутствии применения мер ответственности за неисполнение (ненадлежащее исполнение) обязательств по контракту нацелено на выявление лучшего предложения исполнения контракта и не противоречит положениям Закона о контрактной системе.</w:t>
      </w:r>
    </w:p>
    <w:p>
      <w:pPr>
        <w:pStyle w:val="Style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На основании вышеизложенного, а также с учетом пояснений представителей</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Заказчика и Заявителя, Комиссия Управления приходит к выводу, что вышеуказанные доводы жалобы не нашли своего подтверждения и являются необоснованными.</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7"/>
        <w:widowControl w:val="0"/>
        <w:keepNext w:val="0"/>
        <w:keepLines w:val="0"/>
        <w:shd w:val="clear" w:color="auto" w:fill="auto"/>
        <w:bidi w:val="0"/>
        <w:jc w:val="left"/>
        <w:spacing w:before="0" w:after="0" w:line="322" w:lineRule="exact"/>
        <w:ind w:left="4520" w:right="0" w:firstLine="0"/>
      </w:pPr>
      <w:r>
        <w:rPr>
          <w:lang w:val="ru-RU" w:eastAsia="ru-RU" w:bidi="ru-RU"/>
          <w:w w:val="100"/>
          <w:spacing w:val="0"/>
          <w:color w:val="000000"/>
          <w:position w:val="0"/>
        </w:rPr>
        <w:t>Р Е Ш И Л А:</w:t>
      </w:r>
    </w:p>
    <w:p>
      <w:pPr>
        <w:pStyle w:val="Style5"/>
        <w:numPr>
          <w:ilvl w:val="0"/>
          <w:numId w:val="5"/>
        </w:numPr>
        <w:widowControl w:val="0"/>
        <w:keepNext w:val="0"/>
        <w:keepLines w:val="0"/>
        <w:shd w:val="clear" w:color="auto" w:fill="auto"/>
        <w:bidi w:val="0"/>
        <w:jc w:val="both"/>
        <w:spacing w:before="0" w:after="0" w:line="326" w:lineRule="exact"/>
        <w:ind w:left="20" w:right="20" w:firstLine="540"/>
      </w:pPr>
      <w:r>
        <w:rPr>
          <w:lang w:val="ru-RU" w:eastAsia="ru-RU" w:bidi="ru-RU"/>
          <w:w w:val="100"/>
          <w:spacing w:val="0"/>
          <w:color w:val="000000"/>
          <w:position w:val="0"/>
        </w:rPr>
        <w:t xml:space="preserve"> Признать жалобу ООО ЧОО «Охрана 24» на действия ГБУ Социальный дом «Дегунино» необоснованной.</w:t>
      </w:r>
    </w:p>
    <w:p>
      <w:pPr>
        <w:pStyle w:val="Style5"/>
        <w:numPr>
          <w:ilvl w:val="0"/>
          <w:numId w:val="5"/>
        </w:numPr>
        <w:widowControl w:val="0"/>
        <w:keepNext w:val="0"/>
        <w:keepLines w:val="0"/>
        <w:shd w:val="clear" w:color="auto" w:fill="auto"/>
        <w:bidi w:val="0"/>
        <w:jc w:val="both"/>
        <w:spacing w:before="0" w:after="312"/>
        <w:ind w:left="20" w:right="20" w:firstLine="54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от 22.10.2021 № ЕИ/64902/21.</w:t>
      </w:r>
    </w:p>
    <w:p>
      <w:pPr>
        <w:pStyle w:val="Style5"/>
        <w:widowControl w:val="0"/>
        <w:keepNext w:val="0"/>
        <w:keepLines w:val="0"/>
        <w:shd w:val="clear" w:color="auto" w:fill="auto"/>
        <w:bidi w:val="0"/>
        <w:jc w:val="both"/>
        <w:spacing w:before="0" w:after="0" w:line="307" w:lineRule="exact"/>
        <w:ind w:left="20" w:right="20" w:firstLine="5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691" w:val="center"/>
          <w:tab w:leader="none" w:pos="10100" w:val="right"/>
        </w:tabs>
        <w:widowControl w:val="0"/>
        <w:keepNext w:val="0"/>
        <w:keepLines w:val="0"/>
        <w:shd w:val="clear" w:color="auto" w:fill="auto"/>
        <w:bidi w:val="0"/>
        <w:jc w:val="both"/>
        <w:spacing w:before="0" w:after="0" w:line="768" w:lineRule="exact"/>
        <w:ind w:left="2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8691" w:val="center"/>
          <w:tab w:leader="none" w:pos="10100" w:val="right"/>
        </w:tabs>
        <w:widowControl w:val="0"/>
        <w:keepNext w:val="0"/>
        <w:keepLines w:val="0"/>
        <w:shd w:val="clear" w:color="auto" w:fill="auto"/>
        <w:bidi w:val="0"/>
        <w:jc w:val="both"/>
        <w:spacing w:before="0" w:after="0" w:line="768" w:lineRule="exact"/>
        <w:ind w:left="20" w:right="0" w:firstLine="0"/>
      </w:pPr>
      <w:r>
        <w:rPr>
          <w:lang w:val="ru-RU" w:eastAsia="ru-RU" w:bidi="ru-RU"/>
          <w:w w:val="100"/>
          <w:spacing w:val="0"/>
          <w:color w:val="000000"/>
          <w:position w:val="0"/>
        </w:rPr>
        <w:t>Члены Комиссии:</w:t>
        <w:tab/>
        <w:t>В.А.</w:t>
        <w:tab/>
        <w:t>Матвеев</w:t>
      </w:r>
    </w:p>
    <w:p>
      <w:pPr>
        <w:pStyle w:val="Style5"/>
        <w:widowControl w:val="0"/>
        <w:keepNext w:val="0"/>
        <w:keepLines w:val="0"/>
        <w:shd w:val="clear" w:color="auto" w:fill="auto"/>
        <w:bidi w:val="0"/>
        <w:jc w:val="right"/>
        <w:spacing w:before="0" w:after="6854" w:line="768" w:lineRule="exact"/>
        <w:ind w:left="0" w:right="20" w:firstLine="0"/>
      </w:pPr>
      <w:r>
        <w:rPr>
          <w:lang w:val="ru-RU" w:eastAsia="ru-RU" w:bidi="ru-RU"/>
          <w:w w:val="100"/>
          <w:spacing w:val="0"/>
          <w:color w:val="000000"/>
          <w:position w:val="0"/>
        </w:rPr>
        <w:t>А.А. Кутейников</w:t>
      </w:r>
    </w:p>
    <w:p>
      <w:pPr>
        <w:pStyle w:val="Style14"/>
        <w:widowControl w:val="0"/>
        <w:keepNext w:val="0"/>
        <w:keepLines w:val="0"/>
        <w:shd w:val="clear" w:color="auto" w:fill="auto"/>
        <w:bidi w:val="0"/>
        <w:jc w:val="left"/>
        <w:spacing w:before="0" w:after="0"/>
        <w:ind w:left="20" w:right="6680" w:firstLine="0"/>
      </w:pPr>
      <w:r>
        <w:rPr>
          <w:lang w:val="ru-RU" w:eastAsia="ru-RU" w:bidi="ru-RU"/>
          <w:w w:val="100"/>
          <w:spacing w:val="0"/>
          <w:color w:val="000000"/>
          <w:position w:val="0"/>
        </w:rPr>
        <w:t>Исп. Матвеев Владислав Александрович Тел. 8-495-784-75-05</w:t>
      </w:r>
    </w:p>
    <w:sectPr>
      <w:footnotePr>
        <w:pos w:val="pageBottom"/>
        <w:numFmt w:val="decimal"/>
        <w:numRestart w:val="continuous"/>
      </w:footnotePr>
      <w:type w:val="continuous"/>
      <w:pgSz w:w="11906" w:h="16838"/>
      <w:pgMar w:top="1118" w:left="841" w:right="817"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 + Не полужирный"/>
    <w:basedOn w:val="CharStyle8"/>
    <w:rPr>
      <w:lang w:val="ru-RU" w:eastAsia="ru-RU" w:bidi="ru-RU"/>
      <w:b/>
      <w:bCs/>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 8,5 pt"/>
    <w:basedOn w:val="CharStyle6"/>
    <w:rPr>
      <w:lang w:val="ru-RU" w:eastAsia="ru-RU" w:bidi="ru-RU"/>
      <w:sz w:val="17"/>
      <w:szCs w:val="17"/>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line="326"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642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