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219" w:line="260" w:lineRule="exact"/>
        <w:ind w:left="5340" w:right="0" w:firstLine="0"/>
      </w:pPr>
      <w:r>
        <w:rPr>
          <w:lang w:val="ru-RU" w:eastAsia="ru-RU" w:bidi="ru-RU"/>
          <w:w w:val="100"/>
          <w:spacing w:val="0"/>
          <w:color w:val="000000"/>
          <w:position w:val="0"/>
        </w:rPr>
        <w:t>ГБУЗ «ГП № 115 ДЗМ»</w:t>
      </w:r>
    </w:p>
    <w:p>
      <w:pPr>
        <w:pStyle w:val="Style5"/>
        <w:widowControl w:val="0"/>
        <w:keepNext w:val="0"/>
        <w:keepLines w:val="0"/>
        <w:shd w:val="clear" w:color="auto" w:fill="auto"/>
        <w:bidi w:val="0"/>
        <w:jc w:val="left"/>
        <w:spacing w:before="0" w:after="319" w:line="283" w:lineRule="exact"/>
        <w:ind w:left="5340" w:right="560" w:firstLine="0"/>
      </w:pPr>
      <w:r>
        <w:rPr>
          <w:lang w:val="ru-RU" w:eastAsia="ru-RU" w:bidi="ru-RU"/>
          <w:w w:val="100"/>
          <w:spacing w:val="0"/>
          <w:color w:val="000000"/>
          <w:position w:val="0"/>
        </w:rPr>
        <w:t xml:space="preserve">ул. Демьяна Бедного, д. 8, г. Москва, 123308, </w:t>
      </w:r>
      <w:r>
        <w:fldChar w:fldCharType="begin"/>
      </w:r>
      <w:r>
        <w:rPr>
          <w:color w:val="000000"/>
        </w:rPr>
        <w:instrText> HYPERLINK "mailto:gp115@zdrav.mos.ru" </w:instrText>
      </w:r>
      <w:r>
        <w:fldChar w:fldCharType="separate"/>
      </w:r>
      <w:r>
        <w:rPr>
          <w:rStyle w:val="Hyperlink"/>
          <w:lang w:val="en-US" w:eastAsia="en-US" w:bidi="en-US"/>
          <w:w w:val="100"/>
          <w:spacing w:val="0"/>
          <w:position w:val="0"/>
        </w:rPr>
        <w:t>gp115@zdrav.mos.ru</w:t>
      </w:r>
      <w:r>
        <w:fldChar w:fldCharType="end"/>
      </w:r>
      <w:r>
        <w:rPr>
          <w:lang w:val="en-US" w:eastAsia="en-US" w:bidi="en-US"/>
          <w:w w:val="100"/>
          <w:spacing w:val="0"/>
          <w:color w:val="000000"/>
          <w:position w:val="0"/>
        </w:rPr>
        <w:t xml:space="preserve">, </w:t>
      </w: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p>
    <w:p>
      <w:pPr>
        <w:pStyle w:val="Style5"/>
        <w:widowControl w:val="0"/>
        <w:keepNext w:val="0"/>
        <w:keepLines w:val="0"/>
        <w:shd w:val="clear" w:color="auto" w:fill="auto"/>
        <w:bidi w:val="0"/>
        <w:jc w:val="left"/>
        <w:spacing w:before="0" w:after="221" w:line="260" w:lineRule="exact"/>
        <w:ind w:left="5340" w:right="0" w:firstLine="0"/>
      </w:pPr>
      <w:r>
        <w:rPr>
          <w:lang w:val="ru-RU" w:eastAsia="ru-RU" w:bidi="ru-RU"/>
          <w:w w:val="100"/>
          <w:spacing w:val="0"/>
          <w:color w:val="000000"/>
          <w:position w:val="0"/>
        </w:rPr>
        <w:t>ИП Лебедева А.М.</w:t>
      </w:r>
    </w:p>
    <w:p>
      <w:pPr>
        <w:pStyle w:val="Style5"/>
        <w:widowControl w:val="0"/>
        <w:keepNext w:val="0"/>
        <w:keepLines w:val="0"/>
        <w:shd w:val="clear" w:color="auto" w:fill="auto"/>
        <w:bidi w:val="0"/>
        <w:jc w:val="left"/>
        <w:spacing w:before="0" w:after="1822" w:line="274" w:lineRule="exact"/>
        <w:ind w:left="5340" w:right="560" w:firstLine="0"/>
      </w:pPr>
      <w:r>
        <w:rPr>
          <w:lang w:val="ru-RU" w:eastAsia="ru-RU" w:bidi="ru-RU"/>
          <w:w w:val="100"/>
          <w:spacing w:val="0"/>
          <w:color w:val="000000"/>
          <w:position w:val="0"/>
        </w:rPr>
        <w:t xml:space="preserve">ул. Солнечная, д. 12, д. Шахматова, 641914, </w:t>
      </w:r>
      <w:r>
        <w:fldChar w:fldCharType="begin"/>
      </w:r>
      <w:r>
        <w:rPr>
          <w:color w:val="000000"/>
        </w:rPr>
        <w:instrText> HYPERLINK "mailto:nalogi911@mail.ru" </w:instrText>
      </w:r>
      <w:r>
        <w:fldChar w:fldCharType="separate"/>
      </w:r>
      <w:r>
        <w:rPr>
          <w:rStyle w:val="Hyperlink"/>
          <w:lang w:val="en-US" w:eastAsia="en-US" w:bidi="en-US"/>
          <w:w w:val="100"/>
          <w:spacing w:val="0"/>
          <w:position w:val="0"/>
        </w:rPr>
        <w:t>nalogi911@mail.ru</w:t>
      </w:r>
      <w:r>
        <w:fldChar w:fldCharType="end"/>
      </w:r>
    </w:p>
    <w:p>
      <w:pPr>
        <w:pStyle w:val="Style7"/>
        <w:tabs>
          <w:tab w:leader="none" w:pos="9141" w:val="right"/>
          <w:tab w:leader="none" w:pos="10197" w:val="righ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РЕШЕНИЕ по делу № 077/06/106-19096/2021 о нарушении законодательства о контрактной системе 27.10.2021</w:t>
        <w:tab/>
        <w:t>г.</w:t>
        <w:tab/>
        <w:t>Москва</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Е.А. Мироновой,</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Специалиста-эксперта отдела обжалования государственных закупок А.А. Матюшенко,</w:t>
      </w:r>
    </w:p>
    <w:p>
      <w:pPr>
        <w:pStyle w:val="Style5"/>
        <w:widowControl w:val="0"/>
        <w:keepNext w:val="0"/>
        <w:keepLines w:val="0"/>
        <w:shd w:val="clear" w:color="auto" w:fill="auto"/>
        <w:bidi w:val="0"/>
        <w:jc w:val="both"/>
        <w:spacing w:before="0" w:after="0" w:line="322" w:lineRule="exact"/>
        <w:ind w:left="40" w:right="0" w:firstLine="680"/>
      </w:pPr>
      <w:r>
        <w:rPr>
          <w:lang w:val="ru-RU" w:eastAsia="ru-RU" w:bidi="ru-RU"/>
          <w:w w:val="100"/>
          <w:spacing w:val="0"/>
          <w:color w:val="000000"/>
          <w:position w:val="0"/>
        </w:rPr>
        <w:t>Специалиста первого разряда отдела обжалования государственных закупок</w:t>
      </w:r>
    </w:p>
    <w:p>
      <w:pPr>
        <w:pStyle w:val="Style5"/>
        <w:tabs>
          <w:tab w:leader="none" w:pos="628"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Э.З.</w:t>
        <w:tab/>
        <w:t>Гугава,</w:t>
      </w:r>
    </w:p>
    <w:p>
      <w:pPr>
        <w:pStyle w:val="Style5"/>
        <w:tabs>
          <w:tab w:leader="none" w:pos="590" w:val="left"/>
        </w:tabs>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framePr w:w="1685" w:h="394" w:wrap="around" w:vAnchor="text" w:hAnchor="margin" w:x="385" w:y="3462"/>
        <w:widowControl w:val="0"/>
        <w:keepNext w:val="0"/>
        <w:keepLines w:val="0"/>
        <w:shd w:val="clear" w:color="auto" w:fill="auto"/>
        <w:bidi w:val="0"/>
        <w:jc w:val="left"/>
        <w:spacing w:before="0" w:after="0" w:line="240" w:lineRule="auto"/>
        <w:ind w:left="0" w:right="0" w:firstLine="0"/>
      </w:pPr>
      <w:r>
        <w:rPr>
          <w:w w:val="100"/>
          <w:spacing w:val="0"/>
          <w:color w:val="000000"/>
          <w:position w:val="0"/>
        </w:rPr>
        <w:t>002145156464</w:t>
      </w:r>
    </w:p>
    <w:p>
      <w:pPr>
        <w:pStyle w:val="Style5"/>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при участии представителей ГБУЗ «ГП № 115 ДЗМ», ИП Лебедева А.М., рассмотрев жалобу ИП Лебедева А.М. (далее — Заявитель) на действия ГБУЗ «ГП № 115 ДЗМ» (далее — Заказчик) при проведении электронного аукциона на право заключения государственного контракта на поставку изделий медицинского назначения (перчатки медицинские) для нужд ГБУЗ «ГП № 115 ДЗМ» (Закупка № 0373200581921000063)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w:t>
      </w:r>
      <w:r>
        <w:br w:type="page"/>
      </w:r>
    </w:p>
    <w:p>
      <w:pPr>
        <w:pStyle w:val="Style5"/>
        <w:widowControl w:val="0"/>
        <w:keepNext w:val="0"/>
        <w:keepLines w:val="0"/>
        <w:shd w:val="clear" w:color="auto" w:fill="auto"/>
        <w:bidi w:val="0"/>
        <w:jc w:val="both"/>
        <w:spacing w:before="0" w:after="346" w:line="317" w:lineRule="exact"/>
        <w:ind w:left="20" w:right="20" w:firstLine="0"/>
      </w:pPr>
      <w:r>
        <w:rPr>
          <w:lang w:val="ru-RU" w:eastAsia="ru-RU" w:bidi="ru-RU"/>
          <w:w w:val="100"/>
          <w:spacing w:val="0"/>
          <w:color w:val="000000"/>
          <w:position w:val="0"/>
        </w:rPr>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spacing w:before="0" w:after="304"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5"/>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 ЕИ/65027/21 от 22.10.2021.</w:t>
      </w:r>
    </w:p>
    <w:p>
      <w:pPr>
        <w:pStyle w:val="Style5"/>
        <w:tabs>
          <w:tab w:leader="none" w:pos="634" w:val="left"/>
        </w:tabs>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Согласно протоколу рассмотрения заявок на участие в электронном аукционе от 18.10.2021 №0373200581921000063-1 Заявителю, номер заявки 4, отказано в допуске к участию в аукционе, в том числе, на основании представления недостоверной информации в отношении представленного к поставке товара, а именно: «п. 1 ч. 4 ст. 67 - непредоставление информации, предусмотренной ч. 3 ст. 66</w:t>
        <w:tab/>
        <w:t>44-ФЗ, или предоставление/установление недостоверной информации</w:t>
      </w:r>
    </w:p>
    <w:p>
      <w:pPr>
        <w:pStyle w:val="Style5"/>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 xml:space="preserve">предусмотренной ч. 3 ст. 66 44-ФЗ: Отказать в допуске к участию в аукционе на основании п. 1 ч. 4 ст. 67 44-ФЗ, в связи с предоставлением недостоверной информации в позициях 12 и 13 заявки о товарном знаке </w:t>
      </w:r>
      <w:r>
        <w:rPr>
          <w:lang w:val="en-US" w:eastAsia="en-US" w:bidi="en-US"/>
          <w:w w:val="100"/>
          <w:spacing w:val="0"/>
          <w:color w:val="000000"/>
          <w:position w:val="0"/>
        </w:rPr>
        <w:t xml:space="preserve">Gammex, </w:t>
      </w:r>
      <w:r>
        <w:rPr>
          <w:lang w:val="ru-RU" w:eastAsia="ru-RU" w:bidi="ru-RU"/>
          <w:w w:val="100"/>
          <w:spacing w:val="0"/>
          <w:color w:val="000000"/>
          <w:position w:val="0"/>
        </w:rPr>
        <w:t xml:space="preserve">что подтверждается письмом № 2021-0507-001 от 05.07.2021 г. производителя данных перчаток - компании </w:t>
      </w:r>
      <w:r>
        <w:rPr>
          <w:lang w:val="en-US" w:eastAsia="en-US" w:bidi="en-US"/>
          <w:w w:val="100"/>
          <w:spacing w:val="0"/>
          <w:color w:val="000000"/>
          <w:position w:val="0"/>
        </w:rPr>
        <w:t xml:space="preserve">Ansell, </w:t>
      </w:r>
      <w:r>
        <w:rPr>
          <w:lang w:val="ru-RU" w:eastAsia="ru-RU" w:bidi="ru-RU"/>
          <w:w w:val="100"/>
          <w:spacing w:val="0"/>
          <w:color w:val="000000"/>
          <w:position w:val="0"/>
        </w:rPr>
        <w:t>согласно которому, импортируемые ими перчатки на территорию РФ обладают иными индивидуальными товарными знаками».</w:t>
      </w:r>
    </w:p>
    <w:p>
      <w:pPr>
        <w:pStyle w:val="Style5"/>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соответствии с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w:t>
      </w:r>
    </w:p>
    <w:p>
      <w:pPr>
        <w:pStyle w:val="Style5"/>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соответствии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ч.3-6 ст.66 Закона о контрактной системе и инструкцию по ее заполнению.</w:t>
      </w:r>
    </w:p>
    <w:p>
      <w:pPr>
        <w:pStyle w:val="Style5"/>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jc w:val="both"/>
        <w:spacing w:before="0" w:after="0" w:line="326" w:lineRule="exact"/>
        <w:ind w:left="20" w:right="20" w:firstLine="68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Техническим заданием аукционной документации установлены требования к характеристикам необходимых товаров, например по позиции 13 «Перчатки хирургические из полихлорпрена, неопудренные (для индикации повреждения) (Размер 7И </w:t>
      </w:r>
      <w:r>
        <w:rPr>
          <w:lang w:val="en-US" w:eastAsia="en-US" w:bidi="en-US"/>
          <w:w w:val="100"/>
          <w:spacing w:val="0"/>
          <w:color w:val="000000"/>
          <w:position w:val="0"/>
        </w:rPr>
        <w:t>(M))».</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Согласно п.2 ч.3 ст.66 Закона о контрактной системе первая часть заявки на участие в электронном аукционе, за исключением случая, предусмотренного частью 3.1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tabs>
          <w:tab w:leader="none" w:pos="10181" w:val="right"/>
        </w:tabs>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Комиссией Управления установлено, что в составе первой части заявки на участие в аукционе участник закупки выразил согласие на поставку товара на условиях аукционной документации, а также представил сведения о товарах, в том числе по позиции 13 «Перчатки хирургические из полихлорпрена, неопудренные (для индикации повреждения) (Размер 7И </w:t>
      </w:r>
      <w:r>
        <w:rPr>
          <w:lang w:val="en-US" w:eastAsia="en-US" w:bidi="en-US"/>
          <w:w w:val="100"/>
          <w:spacing w:val="0"/>
          <w:color w:val="000000"/>
          <w:position w:val="0"/>
        </w:rPr>
        <w:t xml:space="preserve">(M))» </w:t>
      </w:r>
      <w:r>
        <w:rPr>
          <w:lang w:val="ru-RU" w:eastAsia="ru-RU" w:bidi="ru-RU"/>
          <w:w w:val="100"/>
          <w:spacing w:val="0"/>
          <w:color w:val="000000"/>
          <w:position w:val="0"/>
        </w:rPr>
        <w:t>представлены, в частности, следующие сведения: Указание на товарный знак:</w:t>
        <w:tab/>
      </w:r>
      <w:r>
        <w:rPr>
          <w:lang w:val="en-US" w:eastAsia="en-US" w:bidi="en-US"/>
          <w:w w:val="100"/>
          <w:spacing w:val="0"/>
          <w:color w:val="000000"/>
          <w:position w:val="0"/>
        </w:rPr>
        <w:t>«Gammex®»,</w:t>
      </w:r>
    </w:p>
    <w:p>
      <w:pPr>
        <w:pStyle w:val="Style5"/>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«Страна происхождения: Малайзия, Шри-Ланка».</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силу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На заседании Комиссии Управления представитель Заказчика пояснил, что Заявителем в составе заявки на участие в аукционе представлена недостоверная информация относительно товарного знака предлагаемого к поставке товара, например по п.13 Заявителем указан товарный знак </w:t>
      </w:r>
      <w:r>
        <w:rPr>
          <w:lang w:val="en-US" w:eastAsia="en-US" w:bidi="en-US"/>
          <w:w w:val="100"/>
          <w:spacing w:val="0"/>
          <w:color w:val="000000"/>
          <w:position w:val="0"/>
        </w:rPr>
        <w:t xml:space="preserve">«Gammex®», </w:t>
      </w:r>
      <w:r>
        <w:rPr>
          <w:lang w:val="ru-RU" w:eastAsia="ru-RU" w:bidi="ru-RU"/>
          <w:w w:val="100"/>
          <w:spacing w:val="0"/>
          <w:color w:val="000000"/>
          <w:position w:val="0"/>
        </w:rPr>
        <w:t xml:space="preserve">в то время как указанный товар обладает товарным знаком </w:t>
      </w:r>
      <w:r>
        <w:rPr>
          <w:lang w:val="en-US" w:eastAsia="en-US" w:bidi="en-US"/>
          <w:w w:val="100"/>
          <w:spacing w:val="0"/>
          <w:color w:val="000000"/>
          <w:position w:val="0"/>
        </w:rPr>
        <w:t>«Gammex® Non-Latex».</w:t>
      </w:r>
    </w:p>
    <w:p>
      <w:pPr>
        <w:pStyle w:val="Style5"/>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В подтверждение своей позиции представитель Заказчика представил письмо представителя производителя на территории Российской Федерации ООО «Анселл РУС» от 25.10.2021г. № 2021-2510-001 в составе которого однозначно указано, что медицинское изделие с регистрационным удостоверением № РЗН 2018/6704 от 22.01.2018 обладает следующим товарным знаком </w:t>
      </w:r>
      <w:r>
        <w:rPr>
          <w:lang w:val="en-US" w:eastAsia="en-US" w:bidi="en-US"/>
          <w:w w:val="100"/>
          <w:spacing w:val="0"/>
          <w:color w:val="000000"/>
          <w:position w:val="0"/>
        </w:rPr>
        <w:t>«Gammex® Non-Latex».</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Вместе с этим Комиссией Управления установлено, что в предложении участника закупки продекларировано указание исключительно на товарный знак </w:t>
      </w:r>
      <w:r>
        <w:rPr>
          <w:lang w:val="en-US" w:eastAsia="en-US" w:bidi="en-US"/>
          <w:w w:val="100"/>
          <w:spacing w:val="0"/>
          <w:color w:val="000000"/>
          <w:position w:val="0"/>
        </w:rPr>
        <w:t xml:space="preserve">«Gammex®», </w:t>
      </w:r>
      <w:r>
        <w:rPr>
          <w:lang w:val="ru-RU" w:eastAsia="ru-RU" w:bidi="ru-RU"/>
          <w:w w:val="100"/>
          <w:spacing w:val="0"/>
          <w:color w:val="000000"/>
          <w:position w:val="0"/>
        </w:rPr>
        <w:t>в то время как, согласно письму представителю производителя на территории Российской Федерации ООО «Анселл РУС», медицинские изделия производимые под данным регистрационным удостоверением обладают иным товарным знаком.</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Согласно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В силу вышеуказанной нормы обязанность доказывания нарушения Заказчиком своих прав и законных интересов лежит на подателе жалобы, однако, на заседание Комиссии Управления Заявитель не явился, а также в составе жалобы Заявителем не представлено документов и сведений, подтверждающих тот факт, что представленные к поставке товары обладают товарными знаками обозначенными в предложении Заявителя, ввиду чего у Комиссии Управления отсутствуют правовые основания считать аукционную комиссию Заказчика нарушившей положения Закона о контрактной системе.</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В соответствии ч.4 ст. 67 Закона о контрактной системе участник электронного аукциона не допускается к участию в нем в случае:</w:t>
      </w:r>
    </w:p>
    <w:p>
      <w:pPr>
        <w:pStyle w:val="Style5"/>
        <w:numPr>
          <w:ilvl w:val="0"/>
          <w:numId w:val="1"/>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непредставления информации, предусмотренной ч.3 ст. 66 Закона о контрактной системе, или предоставления недостоверной информации;</w:t>
      </w:r>
    </w:p>
    <w:p>
      <w:pPr>
        <w:pStyle w:val="Style5"/>
        <w:numPr>
          <w:ilvl w:val="0"/>
          <w:numId w:val="1"/>
        </w:numPr>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 xml:space="preserve"> несоответствия информации, предусмотренной ч.3 ст. 66 Закона о контрактной системе, требованиям документации о таком аукционе.</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В соответствие с ч.5 ст.67 Закона о контрактной системе отказ в допуске к участию в электронном аукционе по основаниям, не предусмотренным ч.4 ст. 67 Закона о контрактной системе, не допускается.</w:t>
      </w:r>
    </w:p>
    <w:p>
      <w:pPr>
        <w:pStyle w:val="Style5"/>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Таким образом, Комиссия Управления приходит к выводу, что у аукционной комиссии Заказчика имелись основания для отказа в допуске Заявителю к участию в аукционе, и решение аукционной комиссии Заказчика в части отказа в допуске Заявителю к участию в аукционе является правомерным.</w:t>
      </w:r>
    </w:p>
    <w:p>
      <w:pPr>
        <w:pStyle w:val="Style5"/>
        <w:widowControl w:val="0"/>
        <w:keepNext w:val="0"/>
        <w:keepLines w:val="0"/>
        <w:shd w:val="clear" w:color="auto" w:fill="auto"/>
        <w:bidi w:val="0"/>
        <w:jc w:val="both"/>
        <w:spacing w:before="0" w:after="0" w:line="322" w:lineRule="exact"/>
        <w:ind w:left="0" w:right="20" w:firstLine="720"/>
        <w:sectPr>
          <w:footnotePr>
            <w:pos w:val="pageBottom"/>
            <w:numFmt w:val="decimal"/>
            <w:numRestart w:val="continuous"/>
          </w:footnotePr>
          <w:type w:val="continuous"/>
          <w:pgSz w:w="11906" w:h="16838"/>
          <w:pgMar w:top="1075" w:left="843" w:right="819" w:bottom="1031"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10"/>
        <w:widowControl w:val="0"/>
        <w:keepNext/>
        <w:keepLines/>
        <w:shd w:val="clear" w:color="auto" w:fill="auto"/>
        <w:bidi w:val="0"/>
        <w:spacing w:before="0" w:after="303" w:line="260" w:lineRule="exact"/>
        <w:ind w:left="0" w:right="0" w:firstLine="0"/>
      </w:pPr>
      <w:bookmarkStart w:id="1" w:name="bookmark1"/>
      <w:r>
        <w:rPr>
          <w:lang w:val="ru-RU" w:eastAsia="ru-RU" w:bidi="ru-RU"/>
          <w:w w:val="100"/>
          <w:spacing w:val="0"/>
          <w:color w:val="000000"/>
          <w:position w:val="0"/>
        </w:rPr>
        <w:t>Р Е Ш И Л А:</w:t>
      </w:r>
      <w:bookmarkEnd w:id="1"/>
    </w:p>
    <w:p>
      <w:pPr>
        <w:pStyle w:val="Style5"/>
        <w:numPr>
          <w:ilvl w:val="0"/>
          <w:numId w:val="3"/>
        </w:numPr>
        <w:widowControl w:val="0"/>
        <w:keepNext w:val="0"/>
        <w:keepLines w:val="0"/>
        <w:shd w:val="clear" w:color="auto" w:fill="auto"/>
        <w:bidi w:val="0"/>
        <w:jc w:val="both"/>
        <w:spacing w:before="0" w:after="0" w:line="322" w:lineRule="exact"/>
        <w:ind w:left="20" w:right="0" w:firstLine="700"/>
      </w:pPr>
      <w:r>
        <w:rPr>
          <w:lang w:val="ru-RU" w:eastAsia="ru-RU" w:bidi="ru-RU"/>
          <w:w w:val="100"/>
          <w:spacing w:val="0"/>
          <w:color w:val="000000"/>
          <w:position w:val="0"/>
        </w:rPr>
        <w:t>Признать жалобу ИП Лебедева А.М. на действия аукционной комиссии ГБУЗ «ГП № 115 ДЗМ» необоснованной.</w:t>
      </w:r>
    </w:p>
    <w:p>
      <w:pPr>
        <w:pStyle w:val="Style5"/>
        <w:numPr>
          <w:ilvl w:val="0"/>
          <w:numId w:val="3"/>
        </w:numPr>
        <w:widowControl w:val="0"/>
        <w:keepNext w:val="0"/>
        <w:keepLines w:val="0"/>
        <w:shd w:val="clear" w:color="auto" w:fill="auto"/>
        <w:bidi w:val="0"/>
        <w:jc w:val="both"/>
        <w:spacing w:before="0" w:after="300" w:line="322" w:lineRule="exact"/>
        <w:ind w:left="20" w:right="0" w:firstLine="700"/>
      </w:pPr>
      <w:r>
        <w:rPr>
          <w:lang w:val="ru-RU" w:eastAsia="ru-RU" w:bidi="ru-RU"/>
          <w:w w:val="100"/>
          <w:spacing w:val="0"/>
          <w:color w:val="000000"/>
          <w:position w:val="0"/>
        </w:rPr>
        <w:t>Снять ограничения на определение поставщика, наложенные письмом Московского УФАС России № ЕИ/65027/21 от 22.10.2021.</w:t>
      </w:r>
    </w:p>
    <w:p>
      <w:pPr>
        <w:pStyle w:val="Style5"/>
        <w:widowControl w:val="0"/>
        <w:keepNext w:val="0"/>
        <w:keepLines w:val="0"/>
        <w:shd w:val="clear" w:color="auto" w:fill="auto"/>
        <w:bidi w:val="0"/>
        <w:jc w:val="both"/>
        <w:spacing w:before="0" w:after="212" w:line="322" w:lineRule="exact"/>
        <w:ind w:left="20" w:right="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5"/>
        <w:framePr w:w="4528" w:h="859" w:wrap="around" w:vAnchor="text" w:hAnchor="margin" w:x="49" w:y="-149"/>
        <w:widowControl w:val="0"/>
        <w:keepNext w:val="0"/>
        <w:keepLines w:val="0"/>
        <w:shd w:val="clear" w:color="auto" w:fill="auto"/>
        <w:bidi w:val="0"/>
        <w:jc w:val="both"/>
        <w:spacing w:before="0" w:after="0" w:line="427" w:lineRule="exact"/>
        <w:ind w:left="0" w:right="100" w:firstLine="0"/>
      </w:pPr>
      <w:r>
        <w:rPr>
          <w:rStyle w:val="CharStyle12"/>
          <w:spacing w:val="0"/>
        </w:rPr>
        <w:t>Заместитель председателя Комиссии Члены Комиссии:</w:t>
      </w:r>
    </w:p>
    <w:p>
      <w:pPr>
        <w:pStyle w:val="Style5"/>
        <w:widowControl w:val="0"/>
        <w:keepNext w:val="0"/>
        <w:keepLines w:val="0"/>
        <w:shd w:val="clear" w:color="auto" w:fill="auto"/>
        <w:bidi w:val="0"/>
        <w:jc w:val="right"/>
        <w:spacing w:before="0" w:after="0" w:line="432" w:lineRule="exact"/>
        <w:ind w:left="3440" w:right="0" w:firstLine="0"/>
      </w:pPr>
      <w:r>
        <w:rPr>
          <w:lang w:val="ru-RU" w:eastAsia="ru-RU" w:bidi="ru-RU"/>
          <w:w w:val="100"/>
          <w:spacing w:val="0"/>
          <w:color w:val="000000"/>
          <w:position w:val="0"/>
        </w:rPr>
        <w:t>Е.А. Миронова А.А. Матюшенко</w:t>
      </w:r>
    </w:p>
    <w:p>
      <w:pPr>
        <w:pStyle w:val="Style5"/>
        <w:tabs>
          <w:tab w:leader="none" w:pos="9357" w:val="left"/>
        </w:tabs>
        <w:widowControl w:val="0"/>
        <w:keepNext w:val="0"/>
        <w:keepLines w:val="0"/>
        <w:shd w:val="clear" w:color="auto" w:fill="auto"/>
        <w:bidi w:val="0"/>
        <w:jc w:val="both"/>
        <w:spacing w:before="0" w:after="7901" w:line="432" w:lineRule="exact"/>
        <w:ind w:left="8720" w:right="0" w:firstLine="0"/>
      </w:pPr>
      <w:r>
        <w:rPr>
          <w:lang w:val="ru-RU" w:eastAsia="ru-RU" w:bidi="ru-RU"/>
          <w:w w:val="100"/>
          <w:spacing w:val="0"/>
          <w:color w:val="000000"/>
          <w:position w:val="0"/>
        </w:rPr>
        <w:t>Э.З.</w:t>
        <w:tab/>
        <w:t>Гугава</w:t>
      </w:r>
    </w:p>
    <w:p>
      <w:pPr>
        <w:pStyle w:val="Style13"/>
        <w:widowControl w:val="0"/>
        <w:keepNext w:val="0"/>
        <w:keepLines w:val="0"/>
        <w:shd w:val="clear" w:color="auto" w:fill="auto"/>
        <w:bidi w:val="0"/>
        <w:jc w:val="left"/>
        <w:spacing w:before="0" w:after="0"/>
        <w:ind w:left="20" w:right="7500" w:firstLine="0"/>
      </w:pPr>
      <w:r>
        <w:rPr>
          <w:lang w:val="ru-RU" w:eastAsia="ru-RU" w:bidi="ru-RU"/>
          <w:w w:val="100"/>
          <w:spacing w:val="0"/>
          <w:color w:val="000000"/>
          <w:position w:val="0"/>
        </w:rPr>
        <w:t>Исп. Гугава Эдуард Звиадович 8 (495)784-75-05</w:t>
      </w:r>
    </w:p>
    <w:sectPr>
      <w:pgSz w:w="11906" w:h="16838"/>
      <w:pgMar w:top="1269" w:left="858" w:right="858" w:bottom="240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4">
    <w:name w:val="Основной текст (3)_"/>
    <w:basedOn w:val="DefaultParagraphFont"/>
    <w:link w:val="Style13"/>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860" w:line="322"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774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