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«Дирекция ЖКХиБ ЮВАО»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6" w:line="322" w:lineRule="exact"/>
        <w:ind w:left="540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пр-т. Волгоградский, д. 163, корп. 3, г. Москва, 115432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3" w:line="326" w:lineRule="exact"/>
        <w:ind w:left="540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г. Москвы «Жилищник района Люблино»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Кубанская, д. 27, г. Москва, 109387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Артомонов М.Д.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9" w:line="322" w:lineRule="exact"/>
        <w:ind w:left="540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Веры Волошиной, д. 48, г. Мыт</w:t>
      </w:r>
      <w:r>
        <w:rPr>
          <w:rStyle w:val="CharStyle8"/>
        </w:rPr>
        <w:t>ищи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141014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658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9"/>
        <w:tabs>
          <w:tab w:leader="none" w:pos="9201" w:val="right"/>
          <w:tab w:leader="none" w:pos="1025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20" w:firstLine="42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077/06/106-19073/2021 о нарушении законодательства о контрактной системе 27.10.2021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10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заместителя начальника отдела обжалования государственных закупок Д.С. Грешневой,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10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10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10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10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10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10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г. Москвы «Жилищник района Люблино»: Ибрагимовой Е.Г.,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10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Артомонов М.Д.: Меркуловича В.В.,</w:t>
      </w:r>
    </w:p>
    <w:p>
      <w:pPr>
        <w:pStyle w:val="Style3"/>
        <w:framePr w:w="1685" w:h="394" w:wrap="around" w:vAnchor="text" w:hAnchor="margin" w:x="452" w:y="109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000348752132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10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ИП Артомонов М.Д. (далее — Заявитель) на действия ГБУ г. Москвы «Жилищник района Люблино» (далее — Заказчик) при проведении электронного аукциона на право заключения государственного контракта на закупку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каркасов куполов (среди СМП) (Закупка № 0373200041121001200) (далее —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300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Заказчиков при проведении вышеуказанного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нарушении Заказчиком положений ст.83.2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от 22.10.2021 №ЕИ/64905/21.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15.09.2021 №0373200041121001200-3, ИП Артомонов М.Д. признан победителем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ст.83.2 Закона о контрактной системе по результатам электронной процедуры контракт заключается с победителем электронной процедуры, а в случаях, предусмотренных Закона о контрактной системе, с иным участником этой процедуры, заявка которого на участие в этой процедуре признана соответствующей требованиям, установленным документацией и (или) извещением о закупке.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ст.83.2 Закона о контрактной системе, в течение пяти дней с даты размещения в единой информационной системе указанных в части 12 статьи 54.7, части 8 статьи 69, части 8 статьи 82.4, части 23 статьи 83.1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контракт, либо предложения о цене за право заключения контракта в случае, предусмотренном частью 23 статьи 68 Закона о контрактной системе, информации о товаре (товарном знаке и (или) конкретных показателях товара), информации, предусмотренной пунктом 2 части 4 статьи 54.4, пунктом 7 части 9 статьи 83.1 Закона о контрактной системе, указанных в заявке, окончательном предложении участника электронной процедуры.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Заказчиком, в срок, установленный ч.2 ст.83.2 Закона о контрактной системе, направлен победителю электронного аукциона проект государственного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ч.4 ст.83.2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процедуры, с которым заключается контракт, в случае наличия разногласий по проекту контракта, размещенному в соответствии с частью 2 ст.83.2 Закона о контрактной системе, размещает на электронной площадке протокол разногласий, подписанный усиленной электронной подписью лица, имеющего право действовать от имени победителя электронной процедуры. Указанный протокол может быть размещен на электронной площадке в отношении соответствующего контракта не более чем один раз. При этом победитель электронной процедуры, с которым заключается контракт, указывает в протоколе разногласий замечания к положениям проекта контракта, не соответствующим документации и (или) извещению о закупке и своей заявке на участие в электронной процедуре, с указанием соответствующих положений данных документов.</w:t>
      </w:r>
    </w:p>
    <w:p>
      <w:pPr>
        <w:pStyle w:val="Style5"/>
        <w:tabs>
          <w:tab w:leader="none" w:pos="7814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Воспользовавшись правом, предусмотренным ч.4</w:t>
        <w:tab/>
        <w:t>ст.83.2 Закона 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системе, Заявителем направлен в адрес Заказчика протокол разногласий с указанием замечаний.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согласно протоколу разногласий, Заявитель указывал на то, что Заказчиком неправомерно добавлено в проект государственного контракта Приложение №1 (Спецификация), содержащая в себе характеристики, отсутствующие в аукционной документации и сведениях, представленных Заявителем в составе первой части заявки.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ч.5 ст.83.2 Закона о контрактной системе в течение трех рабочих дней с даты размещения победителем электронной процедуры на электронной площадке в соответствии с ч. 4 ст.83.2 Закона о контрактной системе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процедуры.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условии, что такой победитель разместил на электронной площадке протокол разногласий в соответствии с частью 4 ст.83.2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Заказчиком, на момент рассмотрения жалобы (27.10.2021), не направлен победителю доработанный проект государственного контракта, что нарушает сроки, предусмотренные ч.5 ст.83.2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 нарушении Заказчиком ч.5 ст.83.2 Закона о контрактной системе, что содержит признаки состава административного правонарушения, ответственность за которое предусмотрена ч.3 ст.7.32 Кодекса административных правонарушений.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этим в ходе проведения внеплановой проверки Комиссией Управления установлено.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в соответствии с требованиями, указанными в ч.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п.2, 3 информационной карты аукционной документации установлено следующее: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«Краткие характеристики выполняемых работ, оказываемых услуг и поставляемых товаров.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качественным характеристикам работ и услуг, требования к функциональным характеристикам товаров, в том числе подлежащих использованию при выполнении работ, оказании услуг: Указано в Приложении №1 к Техническому заданию, которое является неотъемлемой частью Технического задания.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если в настоящем ТЗ имеются ссылки на конкретные торговые марки, наименования производителей и т.п., допускается применение эквивалента.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соответствия товара нормативно-технической документации указаны в Приложении №1 к Техническому заданию.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Товар должен быть новым, соответствовать действующим ГОСТам, ТУ, требованиям безопасности жизни и здоровья, иным требованиям сертификации безопасности. Предоставление копий сертификатов соответствия на поставляемые товары (при их передаче).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Количество поставляемого товара, выполняемых работ и услуг для каждой позиции и вида, номенклатуры и ассортимента.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Приложением № 1 к Техническому заданию (Спецификация)».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Комиссией Управления установлено, что аукционная документация не содержит в себе Приложения №1 к Техническому заданию (Спецификацию), содержащую в себе краткие характеристики поставляемых товаров, а также Количество поставляемого товара.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в результате технической ошибки Приложение №1 к Техническому заданию, являющееся неотъемлемой его частью и раскрывающее требования к товару, не было опубликовано.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а также с учетом пояснений представителя Заказчика, Комиссия Управления приходит к выводу о нарушении Заказчиком п.1 ч.1 и ч.2 ст.33 Закона о контрактной системе, что содержит признаки состава административного правонарушения, ответственность за которое предусмотрена ч.4.2 ст.7.30 Кодекса административных правонарушений.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99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ИП Артомонов М.Д. на действия ГБУ г. Москвы «Жилищник района Люблино» обоснованной.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ч.5 ст.83.2, п.1 ч.1, ч.2 ст.33 Закона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96" w:line="317" w:lineRule="exact"/>
        <w:ind w:left="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гл. 24 АПК РФ.</w:t>
      </w:r>
    </w:p>
    <w:p>
      <w:pPr>
        <w:pStyle w:val="Style5"/>
        <w:framePr w:h="250" w:vSpace="394" w:wrap="around" w:vAnchor="text" w:hAnchor="margin" w:x="8404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6"/>
          <w:spacing w:val="0"/>
        </w:rPr>
        <w:t>Д.С. Грешнева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5"/>
        <w:framePr w:h="240" w:wrap="around" w:vAnchor="text" w:hAnchor="margin" w:x="59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6"/>
          <w:spacing w:val="0"/>
        </w:rPr>
        <w:t>Члены Комиссии</w:t>
      </w:r>
    </w:p>
    <w:p>
      <w:pPr>
        <w:pStyle w:val="Style5"/>
        <w:framePr w:h="240" w:wrap="notBeside" w:vAnchor="text" w:hAnchor="margin" w:x="8582" w:y="64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6"/>
          <w:spacing w:val="0"/>
        </w:rPr>
        <w:t>В.А. Матвеев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5703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Кутейников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4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Матвеев Владислав Александрович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 8-495-784-75-05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3" w:left="807" w:right="783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7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 (2)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+ 10,5 pt"/>
    <w:basedOn w:val="CharStyle7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4">
    <w:name w:val="Основной текст + 4,5 pt,Полужирный"/>
    <w:basedOn w:val="CharStyle7"/>
    <w:rPr>
      <w:lang w:val="ru-RU" w:eastAsia="ru-RU" w:bidi="ru-RU"/>
      <w:b/>
      <w:bCs/>
      <w:sz w:val="9"/>
      <w:szCs w:val="9"/>
      <w:w w:val="100"/>
      <w:spacing w:val="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15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7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spacing w:before="78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center"/>
      <w:outlineLvl w:val="0"/>
      <w:spacing w:after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spacing w:before="5760" w:after="6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