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4411" w:y="5948"/>
        <w:widowControl w:val="0"/>
        <w:keepNext w:val="0"/>
        <w:keepLines w:val="0"/>
        <w:shd w:val="clear" w:color="auto" w:fill="auto"/>
        <w:bidi w:val="0"/>
        <w:jc w:val="left"/>
        <w:spacing w:before="0" w:after="0" w:line="210" w:lineRule="exact"/>
        <w:ind w:left="100" w:right="0" w:firstLine="0"/>
      </w:pPr>
      <w:r>
        <w:rPr>
          <w:lang w:val="ru-RU" w:eastAsia="ru-RU" w:bidi="ru-RU"/>
          <w:w w:val="100"/>
          <w:spacing w:val="-10"/>
          <w:color w:val="000000"/>
          <w:position w:val="0"/>
        </w:rPr>
        <w:t>—1</w:t>
      </w:r>
    </w:p>
    <w:p>
      <w:pPr>
        <w:widowControl w:val="0"/>
        <w:rPr>
          <w:sz w:val="2"/>
          <w:szCs w:val="2"/>
        </w:rPr>
      </w:pPr>
    </w:p>
    <w:p>
      <w:pPr>
        <w:pStyle w:val="Style5"/>
        <w:widowControl w:val="0"/>
        <w:keepNext w:val="0"/>
        <w:keepLines w:val="0"/>
        <w:shd w:val="clear" w:color="auto" w:fill="auto"/>
        <w:bidi w:val="0"/>
        <w:spacing w:before="30" w:after="12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 (Крымское У ФАС России)</w:t>
      </w:r>
    </w:p>
    <w:p>
      <w:pPr>
        <w:pStyle w:val="Style7"/>
        <w:widowControl w:val="0"/>
        <w:keepNext w:val="0"/>
        <w:keepLines w:val="0"/>
        <w:shd w:val="clear" w:color="auto" w:fill="auto"/>
        <w:bidi w:val="0"/>
        <w:spacing w:before="0" w:after="47"/>
        <w:ind w:left="0" w:right="0" w:firstLine="0"/>
      </w:pPr>
      <w:r>
        <w:rPr>
          <w:lang w:val="ru-RU" w:eastAsia="ru-RU" w:bidi="ru-RU"/>
          <w:w w:val="100"/>
          <w:spacing w:val="0"/>
          <w:color w:val="000000"/>
          <w:position w:val="0"/>
        </w:rPr>
        <w:t xml:space="preserve">ул. Александра Невского, д. 1, г. Симферополь, Республика Крым, 295000 тел. +7 (499) 755-23-23, доб. 092-101 </w:t>
      </w:r>
      <w:r>
        <w:rPr>
          <w:rStyle w:val="CharStyle9"/>
        </w:rPr>
        <w:t xml:space="preserve">to92(afas. gov.ru </w:t>
      </w:r>
      <w:r>
        <w:fldChar w:fldCharType="begin"/>
      </w:r>
      <w:r>
        <w:rPr>
          <w:rStyle w:val="CharStyle9"/>
        </w:rPr>
        <w:instrText> HYPERLINK "http://www.krvm.fas.gov.ru" </w:instrText>
      </w:r>
      <w:r>
        <w:fldChar w:fldCharType="separate"/>
      </w:r>
      <w:r>
        <w:rPr>
          <w:rStyle w:val="Hyperlink"/>
        </w:rPr>
        <w:t>http://www.krvm.fas.gov.ru</w:t>
      </w:r>
      <w:r>
        <w:fldChar w:fldCharType="end"/>
      </w:r>
    </w:p>
    <w:p>
      <w:pPr>
        <w:pStyle w:val="Style10"/>
        <w:widowControl w:val="0"/>
        <w:keepNext/>
        <w:keepLines/>
        <w:shd w:val="clear" w:color="auto" w:fill="auto"/>
        <w:bidi w:val="0"/>
        <w:jc w:val="left"/>
        <w:spacing w:before="0" w:after="119" w:line="500" w:lineRule="exact"/>
        <w:ind w:left="40" w:right="0" w:firstLine="0"/>
      </w:pPr>
      <w:bookmarkStart w:id="0" w:name="bookmark0"/>
      <w:r>
        <w:rPr>
          <w:rStyle w:val="CharStyle12"/>
          <w:i/>
          <w:iCs/>
        </w:rPr>
        <w:t>MMA&gt;d^L</w:t>
      </w:r>
      <w:bookmarkEnd w:id="0"/>
    </w:p>
    <w:p>
      <w:pPr>
        <w:pStyle w:val="Style5"/>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На№</w:t>
      </w:r>
    </w:p>
    <w:p>
      <w:pPr>
        <w:pStyle w:val="Style13"/>
        <w:widowControl w:val="0"/>
        <w:keepNext w:val="0"/>
        <w:keepLines w:val="0"/>
        <w:shd w:val="clear" w:color="auto" w:fill="auto"/>
        <w:bidi w:val="0"/>
        <w:jc w:val="left"/>
        <w:spacing w:before="0" w:after="0"/>
        <w:ind w:left="20" w:right="0" w:firstLine="0"/>
      </w:pPr>
      <w:r>
        <w:rPr>
          <w:rStyle w:val="CharStyle15"/>
          <w:lang w:val="ru-RU" w:eastAsia="ru-RU" w:bidi="ru-RU"/>
        </w:rPr>
        <w:t>ЗАКАЗЧИК:</w:t>
      </w:r>
    </w:p>
    <w:p>
      <w:pPr>
        <w:pStyle w:val="Style13"/>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Федеральное государственное бюджетное военное образовательное учреждение высшего образования «Черноморское высшее военно- морское ордена красной звезды училище имени П.С. Нахимова» Министерства обороны Российской Федерации (г. Севастополь) ул. Павла Дыбенко, дом 1, корп. А, г. Севастополь, 299028 </w:t>
      </w:r>
      <w:r>
        <w:rPr>
          <w:rStyle w:val="CharStyle15"/>
        </w:rPr>
        <w:t>kschvvm v@ vandex</w:t>
      </w:r>
      <w:r>
        <w:rPr>
          <w:rStyle w:val="CharStyle15"/>
          <w:lang w:val="ru-RU" w:eastAsia="ru-RU" w:bidi="ru-RU"/>
        </w:rPr>
        <w:t xml:space="preserve">. </w:t>
      </w:r>
      <w:r>
        <w:rPr>
          <w:rStyle w:val="CharStyle15"/>
        </w:rPr>
        <w:t>ru</w:t>
      </w:r>
    </w:p>
    <w:p>
      <w:pPr>
        <w:pStyle w:val="Style13"/>
        <w:widowControl w:val="0"/>
        <w:keepNext w:val="0"/>
        <w:keepLines w:val="0"/>
        <w:shd w:val="clear" w:color="auto" w:fill="auto"/>
        <w:bidi w:val="0"/>
        <w:jc w:val="left"/>
        <w:spacing w:before="0" w:after="0"/>
        <w:ind w:left="20" w:right="0" w:firstLine="0"/>
      </w:pPr>
      <w:r>
        <w:rPr>
          <w:rStyle w:val="CharStyle15"/>
          <w:lang w:val="ru-RU" w:eastAsia="ru-RU" w:bidi="ru-RU"/>
        </w:rPr>
        <w:t>ЗАЯВИТЕЛЬ:</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Общество </w:t>
      </w:r>
      <w:r>
        <w:rPr>
          <w:rStyle w:val="CharStyle16"/>
        </w:rPr>
        <w:t xml:space="preserve">с </w:t>
      </w:r>
      <w:r>
        <w:rPr>
          <w:lang w:val="ru-RU" w:eastAsia="ru-RU" w:bidi="ru-RU"/>
          <w:w w:val="100"/>
          <w:spacing w:val="0"/>
          <w:color w:val="000000"/>
          <w:position w:val="0"/>
        </w:rPr>
        <w:t>ограниченной</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ответственностью</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 ехпромкомплект»</w:t>
      </w:r>
    </w:p>
    <w:p>
      <w:pPr>
        <w:pStyle w:val="Style1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ул. Льва Толстого, д. 7, лит. А, ч.н.п.</w:t>
      </w:r>
    </w:p>
    <w:p>
      <w:pPr>
        <w:pStyle w:val="Style1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№5-Н (6Б,7), г. Санкт-Петербург,</w:t>
      </w:r>
    </w:p>
    <w:p>
      <w:pPr>
        <w:pStyle w:val="Style1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197022</w:t>
      </w:r>
    </w:p>
    <w:p>
      <w:pPr>
        <w:pStyle w:val="Style13"/>
        <w:widowControl w:val="0"/>
        <w:keepNext w:val="0"/>
        <w:keepLines w:val="0"/>
        <w:shd w:val="clear" w:color="auto" w:fill="auto"/>
        <w:bidi w:val="0"/>
        <w:jc w:val="left"/>
        <w:spacing w:before="0" w:after="0" w:line="312" w:lineRule="exact"/>
        <w:ind w:left="20" w:right="0" w:firstLine="0"/>
        <w:sectPr>
          <w:footnotePr>
            <w:pos w:val="pageBottom"/>
            <w:numFmt w:val="decimal"/>
            <w:numRestart w:val="continuous"/>
          </w:footnotePr>
          <w:type w:val="continuous"/>
          <w:pgSz w:w="11906" w:h="16838"/>
          <w:pgMar w:top="952" w:left="893" w:right="1071" w:bottom="976" w:header="0" w:footer="3" w:gutter="0"/>
          <w:rtlGutter w:val="0"/>
          <w:cols w:num="2" w:space="720" w:equalWidth="0">
            <w:col w:w="4877" w:space="1267"/>
            <w:col w:w="3797"/>
          </w:cols>
          <w:noEndnote/>
          <w:docGrid w:linePitch="360"/>
        </w:sectPr>
      </w:pPr>
      <w:r>
        <w:fldChar w:fldCharType="begin"/>
      </w:r>
      <w:r>
        <w:rPr>
          <w:rStyle w:val="CharStyle15"/>
        </w:rPr>
        <w:instrText> HYPERLINK "mailto:tehpromckomplekt.ooo@vandex.ru" </w:instrText>
      </w:r>
      <w:r>
        <w:fldChar w:fldCharType="separate"/>
      </w:r>
      <w:r>
        <w:rPr>
          <w:rStyle w:val="Hyperlink"/>
        </w:rPr>
        <w:t>tehpromckomplekt.ooo@vandex.ru</w:t>
      </w:r>
      <w:r>
        <w:fldChar w:fldCharType="end"/>
      </w:r>
    </w:p>
    <w:p>
      <w:pPr>
        <w:widowControl w:val="0"/>
        <w:spacing w:before="118" w:after="1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312" w:lineRule="exact"/>
        <w:ind w:left="2840" w:right="2640" w:firstLine="1840"/>
      </w:pPr>
      <w:r>
        <w:rPr>
          <w:lang w:val="ru-RU" w:eastAsia="ru-RU" w:bidi="ru-RU"/>
          <w:w w:val="100"/>
          <w:spacing w:val="0"/>
          <w:color w:val="000000"/>
          <w:position w:val="0"/>
        </w:rPr>
        <w:t>РЕШЕНИЕ по делу № 092/06/105-295/2021 о нарушении законодательства об осуществлении закупок</w:t>
      </w:r>
    </w:p>
    <w:p>
      <w:pPr>
        <w:pStyle w:val="Style13"/>
        <w:widowControl w:val="0"/>
        <w:keepNext w:val="0"/>
        <w:keepLines w:val="0"/>
        <w:shd w:val="clear" w:color="auto" w:fill="auto"/>
        <w:bidi w:val="0"/>
        <w:jc w:val="right"/>
        <w:spacing w:before="0" w:after="0" w:line="312" w:lineRule="exact"/>
        <w:ind w:left="0" w:right="20" w:firstLine="0"/>
      </w:pPr>
      <w:r>
        <w:rPr>
          <w:lang w:val="ru-RU" w:eastAsia="ru-RU" w:bidi="ru-RU"/>
          <w:w w:val="100"/>
          <w:spacing w:val="0"/>
          <w:color w:val="000000"/>
          <w:position w:val="0"/>
        </w:rPr>
        <w:t>г. Севастополь</w:t>
      </w:r>
    </w:p>
    <w:p>
      <w:pPr>
        <w:pStyle w:val="Style13"/>
        <w:widowControl w:val="0"/>
        <w:keepNext w:val="0"/>
        <w:keepLines w:val="0"/>
        <w:shd w:val="clear" w:color="auto" w:fill="auto"/>
        <w:bidi w:val="0"/>
        <w:jc w:val="both"/>
        <w:spacing w:before="0" w:after="0" w:line="312" w:lineRule="exact"/>
        <w:ind w:left="0" w:right="0" w:firstLine="700"/>
      </w:pPr>
      <w:r>
        <w:rPr>
          <w:lang w:val="ru-RU" w:eastAsia="ru-RU" w:bidi="ru-RU"/>
          <w:w w:val="100"/>
          <w:spacing w:val="0"/>
          <w:color w:val="000000"/>
          <w:position w:val="0"/>
        </w:rPr>
        <w:t>Резолютивная часть решения объявлена 27 октября 2021 года.</w:t>
      </w:r>
    </w:p>
    <w:p>
      <w:pPr>
        <w:pStyle w:val="Style13"/>
        <w:widowControl w:val="0"/>
        <w:keepNext w:val="0"/>
        <w:keepLines w:val="0"/>
        <w:shd w:val="clear" w:color="auto" w:fill="auto"/>
        <w:bidi w:val="0"/>
        <w:jc w:val="both"/>
        <w:spacing w:before="0" w:after="0" w:line="312" w:lineRule="exact"/>
        <w:ind w:left="0" w:right="0" w:firstLine="700"/>
      </w:pPr>
      <w:r>
        <w:rPr>
          <w:lang w:val="ru-RU" w:eastAsia="ru-RU" w:bidi="ru-RU"/>
          <w:w w:val="100"/>
          <w:spacing w:val="0"/>
          <w:color w:val="000000"/>
          <w:position w:val="0"/>
        </w:rPr>
        <w:t>Решение изготовлено в полном объеме 29 октября 2021 года.</w:t>
      </w:r>
    </w:p>
    <w:p>
      <w:pPr>
        <w:pStyle w:val="Style13"/>
        <w:widowControl w:val="0"/>
        <w:keepNext w:val="0"/>
        <w:keepLines w:val="0"/>
        <w:shd w:val="clear" w:color="auto" w:fill="auto"/>
        <w:bidi w:val="0"/>
        <w:jc w:val="both"/>
        <w:spacing w:before="0" w:after="0" w:line="312" w:lineRule="exact"/>
        <w:ind w:left="0" w:right="20" w:firstLine="70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Кулькова К.В. - специалист- эксперт Отдела Управления, член Комиссии, при очном участии представителей Федерального государственного бюджетного военного образовательного учреждения высшего образования «Черноморское высшее военно-морское ордена красной звезды училище имени </w:t>
      </w:r>
      <w:r>
        <w:rPr>
          <w:lang w:val="en-US" w:eastAsia="en-US" w:bidi="en-US"/>
          <w:w w:val="100"/>
          <w:spacing w:val="0"/>
          <w:color w:val="000000"/>
          <w:position w:val="0"/>
        </w:rPr>
        <w:t xml:space="preserve">II.C. </w:t>
      </w:r>
      <w:r>
        <w:rPr>
          <w:lang w:val="ru-RU" w:eastAsia="ru-RU" w:bidi="ru-RU"/>
          <w:w w:val="100"/>
          <w:spacing w:val="0"/>
          <w:color w:val="000000"/>
          <w:position w:val="0"/>
        </w:rPr>
        <w:t xml:space="preserve">Нахимова» Министерства обороны Российской Федерации (г. Севастополь): Костюченко И.Г. (доверенность №13-Д от 27.10.2021г.), Кромкина В.В. (доверенность №14-Д от 27.10.2021г.), Акименко И.А. (доверенность №15-Д от 26.10.2021г.), при подключении посредством интернет-видеоконференции через программу </w:t>
      </w:r>
      <w:r>
        <w:rPr>
          <w:lang w:val="en-US" w:eastAsia="en-US" w:bidi="en-US"/>
          <w:w w:val="100"/>
          <w:spacing w:val="0"/>
          <w:color w:val="000000"/>
          <w:position w:val="0"/>
        </w:rPr>
        <w:t xml:space="preserve">«TrueConf» </w:t>
      </w:r>
      <w:r>
        <w:rPr>
          <w:lang w:val="ru-RU" w:eastAsia="ru-RU" w:bidi="ru-RU"/>
          <w:w w:val="100"/>
          <w:spacing w:val="0"/>
          <w:color w:val="000000"/>
          <w:position w:val="0"/>
        </w:rPr>
        <w:t>представителя Общества с ограниченной ответственностью «Техпромкомплект» Будзинского А.Б. (доверенность №б/н от 26.11.2020г.), рассмотрев жалобу</w:t>
      </w:r>
      <w:r>
        <w:br w:type="page"/>
      </w:r>
    </w:p>
    <w:p>
      <w:pPr>
        <w:pStyle w:val="Style13"/>
        <w:widowControl w:val="0"/>
        <w:keepNext w:val="0"/>
        <w:keepLines w:val="0"/>
        <w:shd w:val="clear" w:color="auto" w:fill="auto"/>
        <w:bidi w:val="0"/>
        <w:jc w:val="both"/>
        <w:spacing w:before="0" w:after="0" w:line="312" w:lineRule="exact"/>
        <w:ind w:left="40" w:right="20" w:firstLine="0"/>
      </w:pPr>
      <w:r>
        <w:rPr>
          <w:lang w:val="ru-RU" w:eastAsia="ru-RU" w:bidi="ru-RU"/>
          <w:w w:val="100"/>
          <w:spacing w:val="0"/>
          <w:color w:val="000000"/>
          <w:position w:val="0"/>
        </w:rPr>
        <w:t>Общества с ограниченной ответственностью «Техпромкомплект» (далее - Заявитель) на действия Федерального государственного бюджетного военного образовательного учреждения высшего образования «Черноморское высшее военно-морское ордена красной звезды училище имени П.С. Нахимова» Министерства обороны Российской Федерации (г. Севастополь) (далее - Заказчик) при проведении закрытого конкура с учетом положений ст. 111 Закона № 44-ФЗ на оказание услуг по техническому обслуживанию и содержанию объектов, административных зданий и казарменно</w:t>
        <w:softHyphen/>
        <w:t>жилищного фонда ЧВВМУ в 2021-2023 гг., извещение № 0374100000521000027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3"/>
        <w:widowControl w:val="0"/>
        <w:keepNext w:val="0"/>
        <w:keepLines w:val="0"/>
        <w:shd w:val="clear" w:color="auto" w:fill="auto"/>
        <w:bidi w:val="0"/>
        <w:jc w:val="left"/>
        <w:spacing w:before="0" w:after="0" w:line="312" w:lineRule="exact"/>
        <w:ind w:left="462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 xml:space="preserve">Извещение о проведении Закрытого конкурса размещено на официальном сайте </w:t>
      </w:r>
      <w:r>
        <w:fldChar w:fldCharType="begin"/>
      </w:r>
      <w:r>
        <w:rPr>
          <w:rStyle w:val="CharStyle15"/>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По мнению Заявителя, Заказчиком утверждена документация по Закупке с нарушением Закона о контрактной системе. В своей жалобе Заявитель указал следующие доводы:</w:t>
      </w:r>
    </w:p>
    <w:p>
      <w:pPr>
        <w:pStyle w:val="Style13"/>
        <w:widowControl w:val="0"/>
        <w:keepNext w:val="0"/>
        <w:keepLines w:val="0"/>
        <w:shd w:val="clear" w:color="auto" w:fill="auto"/>
        <w:bidi w:val="0"/>
        <w:jc w:val="left"/>
        <w:spacing w:before="0" w:after="0" w:line="312" w:lineRule="exact"/>
        <w:ind w:left="40" w:right="20" w:firstLine="580"/>
      </w:pPr>
      <w:r>
        <w:rPr>
          <w:lang w:val="ru-RU" w:eastAsia="ru-RU" w:bidi="ru-RU"/>
          <w:w w:val="100"/>
          <w:spacing w:val="0"/>
          <w:color w:val="000000"/>
          <w:position w:val="0"/>
        </w:rPr>
        <w:t>По первому доводу Заявитель считает, что Заказчиком неправомерно выбран способ определения поставщика.</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Комиссией Управления установлено, что в силу части 5 статьи 24 Закона о контрактной системе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Согласно части 2 статьи 59 Закона о контрактной системе заказчик обязан проводить электронный аукцион в случае, если осуществляются закупки товаров, работ, услуг, включенные в перечень, установленный Правительством Российской Федерации.</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 xml:space="preserve">Распоряжением Правительства Российской Федерации от 21.03.2016 </w:t>
      </w:r>
      <w:r>
        <w:rPr>
          <w:lang w:val="en-US" w:eastAsia="en-US" w:bidi="en-US"/>
          <w:w w:val="100"/>
          <w:spacing w:val="0"/>
          <w:color w:val="000000"/>
          <w:position w:val="0"/>
        </w:rPr>
        <w:t xml:space="preserve">N </w:t>
      </w:r>
      <w:r>
        <w:rPr>
          <w:lang w:val="ru-RU" w:eastAsia="ru-RU" w:bidi="ru-RU"/>
          <w:w w:val="100"/>
          <w:spacing w:val="0"/>
          <w:color w:val="000000"/>
          <w:position w:val="0"/>
        </w:rPr>
        <w:t xml:space="preserve">471-р утвержден "Перечень товаров, работ, услуг, в случае осуществления закупок, которых заказчик обязан проводить аукцион в электронной форме (электронный аукцион)" (далее - Перечень Распоряжения </w:t>
      </w:r>
      <w:r>
        <w:rPr>
          <w:lang w:val="en-US" w:eastAsia="en-US" w:bidi="en-US"/>
          <w:w w:val="100"/>
          <w:spacing w:val="0"/>
          <w:color w:val="000000"/>
          <w:position w:val="0"/>
        </w:rPr>
        <w:t xml:space="preserve">N </w:t>
      </w:r>
      <w:r>
        <w:rPr>
          <w:lang w:val="ru-RU" w:eastAsia="ru-RU" w:bidi="ru-RU"/>
          <w:w w:val="100"/>
          <w:spacing w:val="0"/>
          <w:color w:val="000000"/>
          <w:position w:val="0"/>
        </w:rPr>
        <w:t>471-р).</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 xml:space="preserve">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Общероссийского классификатора продукции по видам экономической деятельности ОК 034-2014 (КПЕС 2008), принятого и введенного в действие приказом Росстандарта от 31.01.2014 </w:t>
      </w:r>
      <w:r>
        <w:rPr>
          <w:lang w:val="en-US" w:eastAsia="en-US" w:bidi="en-US"/>
          <w:w w:val="100"/>
          <w:spacing w:val="0"/>
          <w:color w:val="000000"/>
          <w:position w:val="0"/>
        </w:rPr>
        <w:t xml:space="preserve">N </w:t>
      </w:r>
      <w:r>
        <w:rPr>
          <w:lang w:val="ru-RU" w:eastAsia="ru-RU" w:bidi="ru-RU"/>
          <w:w w:val="100"/>
          <w:spacing w:val="0"/>
          <w:color w:val="000000"/>
          <w:position w:val="0"/>
        </w:rPr>
        <w:t>14-ст.</w:t>
      </w:r>
    </w:p>
    <w:p>
      <w:pPr>
        <w:pStyle w:val="Style13"/>
        <w:widowControl w:val="0"/>
        <w:keepNext w:val="0"/>
        <w:keepLines w:val="0"/>
        <w:shd w:val="clear" w:color="auto" w:fill="auto"/>
        <w:bidi w:val="0"/>
        <w:jc w:val="both"/>
        <w:spacing w:before="0" w:after="0" w:line="312" w:lineRule="exact"/>
        <w:ind w:left="40" w:right="20" w:firstLine="720"/>
      </w:pPr>
      <w:r>
        <w:rPr>
          <w:lang w:val="ru-RU" w:eastAsia="ru-RU" w:bidi="ru-RU"/>
          <w:w w:val="100"/>
          <w:spacing w:val="0"/>
          <w:color w:val="000000"/>
          <w:position w:val="0"/>
        </w:rPr>
        <w:t>Выбор конкретного кода по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Заказчик пояснил, что в соответствии с извещением о проведении закрытого конкурса, размещенного в ЕИС от 22.09.2021 № 0374100000521000027 и направленной Заявителю конкурсной документацией Заказчика объектом закупки, является оказание услуг по техническому обслуживанию и содержанию объектов, административных зданий и казарменно-жилищного фонда ЧВВМУ в 2021-2023 гг., в том числе:</w:t>
      </w:r>
    </w:p>
    <w:p>
      <w:pPr>
        <w:pStyle w:val="Style13"/>
        <w:numPr>
          <w:ilvl w:val="0"/>
          <w:numId w:val="1"/>
        </w:numPr>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 xml:space="preserve"> услуги по обслуживанию помещений комплексные код по ОКПД2 81.10.10.000</w:t>
      </w:r>
    </w:p>
    <w:p>
      <w:pPr>
        <w:pStyle w:val="Style13"/>
        <w:numPr>
          <w:ilvl w:val="0"/>
          <w:numId w:val="1"/>
        </w:numPr>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 услуги по подметанию и уборке снега код по ОКПД2 81.29.12.000 (услуги по уборке наружной территории)</w:t>
      </w:r>
    </w:p>
    <w:p>
      <w:pPr>
        <w:pStyle w:val="Style13"/>
        <w:numPr>
          <w:ilvl w:val="0"/>
          <w:numId w:val="1"/>
        </w:numPr>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 услуги по чистке и уборке прочие, не включенные в другие группировки код по ОКГ1Д2 81.30.10.000 (услуги по рассаживанию растений, уходу и обслуживанию парков и садов).</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В соответствии с требованиями ОКПД 2 группировка кодов 81.10.10 Услуги по комплексному обслуживанию помещений включает:</w:t>
      </w:r>
    </w:p>
    <w:p>
      <w:pPr>
        <w:pStyle w:val="Style13"/>
        <w:numPr>
          <w:ilvl w:val="0"/>
          <w:numId w:val="1"/>
        </w:numPr>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 предоставление комплексных услуг по обслуживанию помещений клиента, таких как общая уборка, техническое обслуживание, вывоз мусора, обеспечение охраны и безопасности, доставка почты, услуги службы приема, услуги прачечных и т.д.</w:t>
      </w:r>
    </w:p>
    <w:p>
      <w:pPr>
        <w:pStyle w:val="Style13"/>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Эта группировка не включает:</w:t>
      </w:r>
    </w:p>
    <w:p>
      <w:pPr>
        <w:pStyle w:val="Style13"/>
        <w:numPr>
          <w:ilvl w:val="0"/>
          <w:numId w:val="1"/>
        </w:numPr>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 предоставление только одной из вспомогательных услуг (например, услуги по общей уборке), см. соответствующий класс согласно предоставляемой услуге.</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Однако, пунктом 4.16 Конкурсной документации предусмотрены работы по проведению дератизации, дезинсекции и дезинфекции.</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Данные виды работ в соответствии с "ОК 034-2014 (КПЕС 2008). Общероссийский классификатор продукции по видам экономической деятельности" относятся к коду - ОКПД2 - 81.29.11 - «Услуги по дезинфекции, дезинсекции и дератизации», а также ОКПД2 -81.22.11 - «Услуги по мытью окон» и включены в перечень товаров, работ, услуг, в случае осуществления закупок, которых заказчик обязан проводить аукцион в электронной форме (электронный аукцион).</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Заказчик пояснил, что работы по проведению дератизации, дезинсекции и дезинфекции входят в состав предоставления комплексных услуг по обслуживанию помещений клиента, таких как общая уборка, техническое обслуживание, вывоз мусора, обеспечение охраны и безопасности, доставка почты, услуги службы приема, услуги прачечных и т.д. (код ОКПД2 81.10.10). Однако, их расшифровки указанного кода не вытекает применения услуг, связанных с дератизацией, дезинсекцией и дезинфекцией.</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Комиссией установлено, что указанные работы, услуги относятся к работам (услугам), отнесенным к коду: 81.29.11 "Услуги по дезинфекции, дезинсекции и дератизации", включенному в Перечень.</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Учитывая изложенное, Комиссия приходит к выводу о том, что в рамках исполнения контракта будут выполняться, в том числе работы (услуги), включенные в Перечень.</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Таким образом, закупка указанных работ (услуг) должна осуществляться путем проведения электронного аукциона.</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Комиссия приходит к выводу, что действия Заказчика, выразившиеся в неправомерном выборе способа определения поставщика (подрядчика, исполнителя) путем проведения конкурса вместо аукциона нарушают часть 5 статьи 24 Закона о контрактной системе, и содержат признаки состава административного правонарушения, предусмотренного частью 2 статьи 7.29 Кодекса Российской Федерации об административных правонарушениях.</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Аналогичная практика подтверждается решением Московского областного У ФАС России от 17.08.2021 по делу </w:t>
      </w:r>
      <w:r>
        <w:rPr>
          <w:lang w:val="en-US" w:eastAsia="en-US" w:bidi="en-US"/>
          <w:w w:val="100"/>
          <w:spacing w:val="0"/>
          <w:color w:val="000000"/>
          <w:position w:val="0"/>
        </w:rPr>
        <w:t xml:space="preserve">N </w:t>
      </w:r>
      <w:r>
        <w:rPr>
          <w:lang w:val="ru-RU" w:eastAsia="ru-RU" w:bidi="ru-RU"/>
          <w:w w:val="100"/>
          <w:spacing w:val="0"/>
          <w:color w:val="000000"/>
          <w:position w:val="0"/>
        </w:rPr>
        <w:t>050/06/31596эп/2021.</w:t>
      </w:r>
    </w:p>
    <w:p>
      <w:pPr>
        <w:pStyle w:val="Style13"/>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Следовательно, довод жалобы Заявителя является обоснованным.</w:t>
      </w:r>
    </w:p>
    <w:p>
      <w:pPr>
        <w:pStyle w:val="Style13"/>
        <w:numPr>
          <w:ilvl w:val="0"/>
          <w:numId w:val="3"/>
        </w:numPr>
        <w:tabs>
          <w:tab w:leader="none" w:pos="1048" w:val="left"/>
        </w:tabs>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По второму доводу Заявитель считает, что установленные заказчиком в конкурсной документации требования к содержанию заявки участника на участие в закрытом конкурсе, требования к участникам закрытого конкурса и условия проекта государственного контракта незаконны и ограничивают конкуренцию.</w:t>
      </w:r>
    </w:p>
    <w:p>
      <w:pPr>
        <w:pStyle w:val="Style13"/>
        <w:widowControl w:val="0"/>
        <w:keepNext w:val="0"/>
        <w:keepLines w:val="0"/>
        <w:shd w:val="clear" w:color="auto" w:fill="auto"/>
        <w:bidi w:val="0"/>
        <w:jc w:val="both"/>
        <w:spacing w:before="0" w:after="0" w:line="322" w:lineRule="exact"/>
        <w:ind w:left="40" w:right="40" w:firstLine="700"/>
      </w:pPr>
      <w:r>
        <w:rPr>
          <w:lang w:val="ru-RU" w:eastAsia="ru-RU" w:bidi="ru-RU"/>
          <w:w w:val="100"/>
          <w:spacing w:val="0"/>
          <w:color w:val="000000"/>
          <w:position w:val="0"/>
        </w:rPr>
        <w:t>Комиссией Управления установлено, что в соответствии со статьей 5 Закона «О государственной тайне» государственную тайну составляют сведения в военной области о дислокации, назначении, степени готовности, защищенности режимных и особо важных объектов, об их проектировании, строительстве и эксплуатации, а также об отводе земель, недр и акваторий для этих объектов.</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 xml:space="preserve">Приказом Министра обороны Российской Федерации от 13 ноября 2018 года </w:t>
      </w:r>
      <w:r>
        <w:rPr>
          <w:lang w:val="en-US" w:eastAsia="en-US" w:bidi="en-US"/>
          <w:w w:val="100"/>
          <w:spacing w:val="0"/>
          <w:color w:val="000000"/>
          <w:position w:val="0"/>
        </w:rPr>
        <w:t xml:space="preserve">J№ </w:t>
      </w:r>
      <w:r>
        <w:rPr>
          <w:lang w:val="ru-RU" w:eastAsia="ru-RU" w:bidi="ru-RU"/>
          <w:w w:val="100"/>
          <w:spacing w:val="0"/>
          <w:color w:val="000000"/>
          <w:position w:val="0"/>
        </w:rPr>
        <w:t>080 утвержден Перечень сведений Вооруженных Сил Российской Федерации, подлежащих засекречиванию. Согласно вышеуказанному перечню, являются секретными, в том числе сведения, раскрывающие штатную и списочную численность личного состава в мирное время по курсантам и слушателям образовательных организаций Министерства обороны, а также иные сведения, которые хранятся в режимных помещениях училища.</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Пунктом 6 Инструкции по обеспечению режима секретности в Вооруженных Силах Российской Федерации, утвержденной приказом Министра обороны Российской Федерации от 25 апреля 2018 года № 010 (далее - Инструкция) определено, что все воинские части и организации Министерства обороны Российской Федерации, в которых ведутся секретные работы, то есть на территории которых имеются помещения, в которых проводят секретные работы и хранятся в нерабочее время носители сведений, составляющие государственную тайну, являются режимными.</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Пунктом 81 Инструкции определено, что в воинских частях и организациях, где ведутся секретные работы, устанавливается особый пропускной режим. Порядок доступа лиц на указанные территории определяется Министерством обороны Российской Федерации.</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Согласно статьи 27 Закона Российской Федерации от 21 июля 1993 № 5485-1 «О государственной тайне» (далее - Закон о государственной тайне) допуск предприятий, учреждений и организаций к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осуществляется путем получения ими в порядке, устанавливаемом Правительством Российской Федерации, лицензий на проведение работ со сведениями соответствующей степени секретности.</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Оказание услуг должно осуществляться на территории Заказчика, которая является объектом Министерства обороны Российской Федерации с ограниченным доступом. Кроме того, на территории Заказчика имеются режимные объекты. Лица, выполняющие работы по техническому обслуживанию данных объектов, имеют возможность визуального ознакомления со сведениями, составляющими государственную тайну. В частности, при осуществлении технического обслуживания секретных библиотек, в которых осуществляется хранение литературы с грифом «секретно», а также содержатся сведения о направлении развития, разработках вооружения, военной техники, порядок применения или эксплуатации вооружения, военной техники.</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Также, в ходе оказания услуг на территории Заказчика персонал Исполнителя имеет возможность получения информации количестве личного состава, имеющихся образцах вооружения и военной техники, местах их расположения (хранения) и организации охраны, данная информация входит в перечень сведений, подлежащих засекречиванию.</w:t>
      </w:r>
    </w:p>
    <w:p>
      <w:pPr>
        <w:pStyle w:val="Style13"/>
        <w:widowControl w:val="0"/>
        <w:keepNext w:val="0"/>
        <w:keepLines w:val="0"/>
        <w:shd w:val="clear" w:color="auto" w:fill="auto"/>
        <w:bidi w:val="0"/>
        <w:jc w:val="both"/>
        <w:spacing w:before="0" w:after="0" w:line="312" w:lineRule="exact"/>
        <w:ind w:left="40" w:right="40" w:firstLine="700"/>
      </w:pPr>
      <w:r>
        <w:rPr>
          <w:lang w:val="ru-RU" w:eastAsia="ru-RU" w:bidi="ru-RU"/>
          <w:w w:val="100"/>
          <w:spacing w:val="0"/>
          <w:color w:val="000000"/>
          <w:position w:val="0"/>
        </w:rPr>
        <w:t>Согласно абзацу третьему части 2 статьи 4 Закона о государственной тайне, Президент Российской Федерации утверждает по представлению Правительства Российской Федерации Перечень должностных лиц органов государственной власти и организаций, наделяемых полномочиями по отнесению сведений к государственной тайне, Перечень должностей, при замещении которых лица считаются допущенными к государственной тайне, а также Перечень сведений, отнесенных к государственной тайне.</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Указом Президента Российской Федерации от 30 ноября 1995 № 1203 «Об утверждении Перечня сведений, отнесенных к государственной тайне» утвержден перечень сведений, отнесенных к государственной тайне (далее - Перечень). В указанный Перечень, в том числе, входят сведения, раскрывающие направления развития, содержание разработки вооружения, военной техники, порядок применения или эксплуатации вооружения, военной техники.</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Наличие лицензии у исполнителя, согласно Постановлению Правительства РФ от 15 апреля 1995 № 333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накладывает ответственность на Исполнителя, по соблюдению требований законодательных и иных нормативных актов Российской Федерации по обеспечению защиты сведений, составляющих государствен ную тайну в процессе оказания услуг.</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В соответствии с вышеуказанными требованиями ЧВВМУ им. П.С.Нахимова является режимным объектом Министерства обороны Российской Федерации, в котором установлен особый пропускной режим.</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В соответствии с требованиями пункта 122 Инструкции заключение воинскими частями и организациями Вооруженных Сил Российской Федерации с организациями, не подведомственными Министерству обороны Российской Федерации, осуществляется только при возможности выполнения правовых актов по защите государственной тайны.</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В целях заключения контрактов Инструкцией по обеспечению режима секретности в Вооруженных Силах Российской Федерации, утвержденной приказом Министра обороны Российской Федерации от 25 апреля 2018 года № 010, определено наличие в контрактах обязательства Исполнителя работ по защите государственной тайны, необходимость доступа на объекты Вооруженных Сил Российской Федерации сотрудников исполнителя услуг, а также проверка наличия у организаций Исполнителей услуг лицензии на работу со сведениями, составляющими государственную тайну.</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С этой целью при заключении контрактов на оказание услуг по техническому обслуживанию зданий, услуг по эксплуатации коммунальных сооружений, услуг по санитарному содержанию (уборке) помещений (территорий) для нужд училища, наличие у организаций-исполнителей данных услуг лицензии на работу со сведениями, составляющими государственную тайну, является обязательным требованием.</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На основании вышеизложенного, Комиссия Управления приходит к выводу о том, что Заказчиком правомерно установлено требование о наличии у участника лицензии на проведение работ, связанных с использованием сведений, составляющих государственную тайну.</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В части остальных доводов жалобы Заявитель ссылается на ошибки и неточности в конкурсной документации. Заказчик не отрицает наличие указанных технических опечаток, пояснил что такие неточности не могли повлиять на проведение закупочной процедуры и будет исправлена при подготовке окончательной редакции текста контракта.</w:t>
      </w:r>
    </w:p>
    <w:p>
      <w:pPr>
        <w:pStyle w:val="Style13"/>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Исходя из вышеизложенного, жалоба заявителя является частично обоснованной. В действия Заказчика, выразившиеся в неправомерном выборе способа определения поставщика (подрядчика, исполнителя) путем проведения конкурса вместо аукциона нарушают часть 5 статьи 24 Закона о контрактной системе, и содержат признаки состава административного правонарушения, предусмотренного частью 2 статьи 7.29 Кодекса Российской Федерации об административных правонарушениях.</w:t>
      </w:r>
    </w:p>
    <w:p>
      <w:pPr>
        <w:pStyle w:val="Style1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Пунктом 3.35 Административного регламента Федеральной антимонопольной службы от 19 ноября 2014 г. №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3"/>
        <w:widowControl w:val="0"/>
        <w:keepNext w:val="0"/>
        <w:keepLines w:val="0"/>
        <w:shd w:val="clear" w:color="auto" w:fill="auto"/>
        <w:bidi w:val="0"/>
        <w:jc w:val="left"/>
        <w:spacing w:before="0" w:after="0" w:line="312" w:lineRule="exact"/>
        <w:ind w:left="4920" w:right="0" w:firstLine="0"/>
      </w:pPr>
      <w:r>
        <w:rPr>
          <w:lang w:val="ru-RU" w:eastAsia="ru-RU" w:bidi="ru-RU"/>
          <w:w w:val="100"/>
          <w:spacing w:val="0"/>
          <w:color w:val="000000"/>
          <w:position w:val="0"/>
        </w:rPr>
        <w:t>РЕШИЛА:</w:t>
      </w:r>
    </w:p>
    <w:p>
      <w:pPr>
        <w:pStyle w:val="Style13"/>
        <w:numPr>
          <w:ilvl w:val="0"/>
          <w:numId w:val="5"/>
        </w:numPr>
        <w:tabs>
          <w:tab w:leader="none" w:pos="1356" w:val="lef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Признать жалобу Общества с ограниченной ответственностью «Техпромкомплект» на действия Федерального государственного бюджетного военного образовательного учреждения высшего образования «Черноморское высшее военно-морское ордена красной звезды училище имени П.С. Нахимова» Министерства обороны Российской Федерации (г. Севастополь) при проведении закрытого конкура с учетом положений ст. 111 Закона № 44-ФЗ на оказание услуг по техническому обслуживанию и содержанию объектов, административных зданий и казарменно</w:t>
        <w:softHyphen/>
        <w:t>жилищного фонда ЧВВМУ в 2021-2023 гг., извещение № 0374100000521000027, обоснованной.</w:t>
      </w:r>
    </w:p>
    <w:p>
      <w:pPr>
        <w:pStyle w:val="Style13"/>
        <w:numPr>
          <w:ilvl w:val="0"/>
          <w:numId w:val="5"/>
        </w:numPr>
        <w:tabs>
          <w:tab w:leader="none" w:pos="1356" w:val="lef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Установить в действиях Заказчика нарушение части 5 статьи 24 Закона о контрактной системе.</w:t>
      </w:r>
    </w:p>
    <w:p>
      <w:pPr>
        <w:pStyle w:val="Style13"/>
        <w:numPr>
          <w:ilvl w:val="0"/>
          <w:numId w:val="5"/>
        </w:numPr>
        <w:tabs>
          <w:tab w:leader="none" w:pos="1356" w:val="lef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Выдать Заказчику обязательное для исполнения предписание об устранении выявленных нарушений.</w:t>
      </w:r>
    </w:p>
    <w:p>
      <w:pPr>
        <w:pStyle w:val="Style13"/>
        <w:numPr>
          <w:ilvl w:val="0"/>
          <w:numId w:val="5"/>
        </w:numPr>
        <w:tabs>
          <w:tab w:leader="none" w:pos="1356" w:val="left"/>
        </w:tabs>
        <w:widowControl w:val="0"/>
        <w:keepNext w:val="0"/>
        <w:keepLines w:val="0"/>
        <w:shd w:val="clear" w:color="auto" w:fill="auto"/>
        <w:bidi w:val="0"/>
        <w:jc w:val="both"/>
        <w:spacing w:before="0" w:after="197" w:line="312" w:lineRule="exact"/>
        <w:ind w:left="20" w:right="20" w:firstLine="720"/>
      </w:pPr>
      <w:r>
        <w:rPr>
          <w:lang w:val="ru-RU" w:eastAsia="ru-RU" w:bidi="ru-RU"/>
          <w:w w:val="100"/>
          <w:spacing w:val="0"/>
          <w:color w:val="000000"/>
          <w:position w:val="0"/>
        </w:rPr>
        <w:t>Передать материалы дела уполномоченному должностному лицу Крымского УФАС России для рассмотрения вопроса о наличии в действиях должностных лиц Заказчика признаков административного правонарушения.</w:t>
      </w:r>
    </w:p>
    <w:p>
      <w:pPr>
        <w:pStyle w:val="Style7"/>
        <w:widowControl w:val="0"/>
        <w:keepNext w:val="0"/>
        <w:keepLines w:val="0"/>
        <w:shd w:val="clear" w:color="auto" w:fill="auto"/>
        <w:bidi w:val="0"/>
        <w:jc w:val="both"/>
        <w:spacing w:before="0" w:after="0" w:line="216" w:lineRule="exact"/>
        <w:ind w:left="20" w:right="20" w:firstLine="7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7"/>
        <w:widowControl w:val="0"/>
        <w:keepNext w:val="0"/>
        <w:keepLines w:val="0"/>
        <w:shd w:val="clear" w:color="auto" w:fill="auto"/>
        <w:bidi w:val="0"/>
        <w:jc w:val="both"/>
        <w:spacing w:before="0" w:after="0" w:line="226" w:lineRule="exact"/>
        <w:ind w:left="20" w:right="0" w:firstLine="7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7"/>
        <w:widowControl w:val="0"/>
        <w:keepNext w:val="0"/>
        <w:keepLines w:val="0"/>
        <w:shd w:val="clear" w:color="auto" w:fill="auto"/>
        <w:bidi w:val="0"/>
        <w:jc w:val="both"/>
        <w:spacing w:before="0" w:after="0" w:line="226" w:lineRule="exact"/>
        <w:ind w:left="20" w:right="20" w:firstLine="720"/>
        <w:sectPr>
          <w:type w:val="continuous"/>
          <w:pgSz w:w="11906" w:h="16838"/>
          <w:pgMar w:top="1513" w:left="834" w:right="810" w:bottom="860" w:header="0" w:footer="3" w:gutter="0"/>
          <w:rtlGutter w:val="0"/>
          <w:cols w:space="720"/>
          <w:noEndnote/>
          <w:docGrid w:linePitch="360"/>
        </w:sectPr>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
    <w:p>
      <w:pPr>
        <w:pStyle w:val="Style17"/>
        <w:widowControl w:val="0"/>
        <w:keepNext w:val="0"/>
        <w:keepLines w:val="0"/>
        <w:shd w:val="clear" w:color="auto" w:fill="auto"/>
        <w:bidi w:val="0"/>
        <w:spacing w:before="33" w:after="116"/>
        <w:ind w:left="0" w:right="0" w:firstLine="0"/>
      </w:pPr>
      <w:r>
        <w:rPr>
          <w:lang w:val="ru-RU" w:eastAsia="ru-RU" w:bidi="ru-RU"/>
          <w:w w:val="100"/>
          <w:color w:val="000000"/>
          <w:position w:val="0"/>
        </w:rPr>
        <w:t xml:space="preserve">ФЕДЕРАЛЬНАЯ АН Т И МОН </w:t>
      </w:r>
      <w:r>
        <w:rPr>
          <w:rStyle w:val="CharStyle19"/>
        </w:rPr>
        <w:t>0110</w:t>
      </w:r>
      <w:r>
        <w:rPr>
          <w:lang w:val="ru-RU" w:eastAsia="ru-RU" w:bidi="ru-RU"/>
          <w:w w:val="100"/>
          <w:color w:val="000000"/>
          <w:position w:val="0"/>
        </w:rPr>
        <w:t xml:space="preserve"> ЛЬ Н АЯ С Л УЖ Б А</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 (Крымское У ФАС России)</w:t>
      </w:r>
    </w:p>
    <w:p>
      <w:pPr>
        <w:pStyle w:val="Style7"/>
        <w:widowControl w:val="0"/>
        <w:keepNext w:val="0"/>
        <w:keepLines w:val="0"/>
        <w:shd w:val="clear" w:color="auto" w:fill="auto"/>
        <w:bidi w:val="0"/>
        <w:jc w:val="left"/>
        <w:spacing w:before="0" w:after="75" w:line="264" w:lineRule="exact"/>
        <w:ind w:left="580" w:right="0" w:firstLine="560"/>
      </w:pPr>
      <w:r>
        <w:rPr>
          <w:lang w:val="ru-RU" w:eastAsia="ru-RU" w:bidi="ru-RU"/>
          <w:w w:val="100"/>
          <w:spacing w:val="0"/>
          <w:color w:val="000000"/>
          <w:position w:val="0"/>
        </w:rPr>
        <w:t xml:space="preserve">ул. Александра Невского, д. 1. г. Симферополь, Республика Крым. 295000 тел. +7 (499) 755-23-23, доб. 092-101 </w:t>
      </w:r>
      <w:r>
        <w:fldChar w:fldCharType="begin"/>
      </w:r>
      <w:r>
        <w:rPr>
          <w:rStyle w:val="CharStyle9"/>
        </w:rPr>
        <w:instrText> HYPERLINK "mailto:lo92@fas.gov.ru" </w:instrText>
      </w:r>
      <w:r>
        <w:fldChar w:fldCharType="separate"/>
      </w:r>
      <w:r>
        <w:rPr>
          <w:rStyle w:val="Hyperlink"/>
        </w:rPr>
        <w:t>lo92@fas.gov.ru</w:t>
      </w:r>
      <w:r>
        <w:fldChar w:fldCharType="end"/>
      </w:r>
    </w:p>
    <w:p>
      <w:pPr>
        <w:pStyle w:val="Style20"/>
        <w:widowControl w:val="0"/>
        <w:keepNext/>
        <w:keepLines/>
        <w:shd w:val="clear" w:color="auto" w:fill="auto"/>
        <w:bidi w:val="0"/>
        <w:spacing w:before="0" w:after="0" w:line="320" w:lineRule="exact"/>
        <w:ind w:left="0" w:right="0" w:firstLine="0"/>
      </w:pPr>
      <w:bookmarkStart w:id="1" w:name="bookmark1"/>
      <w:r>
        <w:rPr>
          <w:rStyle w:val="CharStyle22"/>
          <w:lang w:val="ru-RU" w:eastAsia="ru-RU" w:bidi="ru-RU"/>
          <w:i/>
          <w:iCs/>
        </w:rPr>
        <w:t xml:space="preserve">№. </w:t>
      </w:r>
      <w:r>
        <w:rPr>
          <w:rStyle w:val="CharStyle22"/>
          <w:i/>
          <w:iCs/>
        </w:rPr>
        <w:t>A&amp;dJ</w:t>
      </w:r>
      <w:r>
        <w:rPr>
          <w:rStyle w:val="CharStyle23"/>
          <w:i w:val="0"/>
          <w:iCs w:val="0"/>
        </w:rPr>
        <w:t xml:space="preserve"> </w:t>
      </w:r>
      <w:r>
        <w:rPr>
          <w:rStyle w:val="CharStyle24"/>
          <w:i w:val="0"/>
          <w:iCs w:val="0"/>
        </w:rPr>
        <w:t>№</w:t>
      </w:r>
      <w:bookmarkEnd w:id="1"/>
    </w:p>
    <w:p>
      <w:pPr>
        <w:pStyle w:val="Style17"/>
        <w:tabs>
          <w:tab w:leader="none" w:pos="2406" w:val="center"/>
        </w:tabs>
        <w:widowControl w:val="0"/>
        <w:keepNext w:val="0"/>
        <w:keepLines w:val="0"/>
        <w:shd w:val="clear" w:color="auto" w:fill="auto"/>
        <w:bidi w:val="0"/>
        <w:jc w:val="both"/>
        <w:spacing w:before="0" w:after="0" w:line="499" w:lineRule="exact"/>
        <w:ind w:left="40" w:right="0" w:firstLine="0"/>
      </w:pPr>
      <w:r>
        <w:rPr>
          <w:rStyle w:val="CharStyle19"/>
        </w:rPr>
        <w:t>На</w:t>
      </w:r>
      <w:r>
        <w:rPr>
          <w:lang w:val="ru-RU" w:eastAsia="ru-RU" w:bidi="ru-RU"/>
          <w:w w:val="100"/>
          <w:color w:val="000000"/>
          <w:position w:val="0"/>
        </w:rPr>
        <w:t xml:space="preserve"> № _____</w:t>
        <w:tab/>
        <w:t>от</w:t>
      </w:r>
    </w:p>
    <w:p>
      <w:pPr>
        <w:pStyle w:val="Style13"/>
        <w:widowControl w:val="0"/>
        <w:keepNext w:val="0"/>
        <w:keepLines w:val="0"/>
        <w:shd w:val="clear" w:color="auto" w:fill="auto"/>
        <w:bidi w:val="0"/>
        <w:jc w:val="both"/>
        <w:spacing w:before="0" w:after="0" w:line="499" w:lineRule="exact"/>
        <w:ind w:left="40" w:right="0" w:firstLine="0"/>
      </w:pPr>
      <w:r>
        <w:rPr>
          <w:lang w:val="ru-RU" w:eastAsia="ru-RU" w:bidi="ru-RU"/>
          <w:w w:val="100"/>
          <w:spacing w:val="0"/>
          <w:color w:val="000000"/>
          <w:position w:val="0"/>
        </w:rPr>
        <w:t>Г~</w:t>
      </w:r>
    </w:p>
    <w:p>
      <w:pPr>
        <w:pStyle w:val="Style25"/>
        <w:tabs>
          <w:tab w:leader="none" w:pos="4440" w:val="right"/>
        </w:tabs>
        <w:widowControl w:val="0"/>
        <w:keepNext w:val="0"/>
        <w:keepLines w:val="0"/>
        <w:shd w:val="clear" w:color="auto" w:fill="auto"/>
        <w:bidi w:val="0"/>
        <w:spacing w:before="0" w:after="0"/>
        <w:ind w:left="0" w:right="0" w:firstLine="0"/>
      </w:pPr>
      <w:r>
        <w:rPr>
          <w:lang w:val="ru-RU" w:eastAsia="ru-RU" w:bidi="ru-RU"/>
          <w:w w:val="100"/>
          <w:color w:val="000000"/>
          <w:position w:val="0"/>
        </w:rPr>
        <w:t>Г"</w:t>
        <w:tab/>
        <w:t>”1</w:t>
      </w:r>
    </w:p>
    <w:p>
      <w:pPr>
        <w:pStyle w:val="Style13"/>
        <w:widowControl w:val="0"/>
        <w:keepNext w:val="0"/>
        <w:keepLines w:val="0"/>
        <w:shd w:val="clear" w:color="auto" w:fill="auto"/>
        <w:bidi w:val="0"/>
        <w:jc w:val="left"/>
        <w:spacing w:before="0" w:after="0" w:line="288" w:lineRule="exact"/>
        <w:ind w:left="340" w:right="0" w:firstLine="0"/>
      </w:pPr>
      <w:r>
        <w:rPr>
          <w:rStyle w:val="CharStyle15"/>
          <w:lang w:val="ru-RU" w:eastAsia="ru-RU" w:bidi="ru-RU"/>
        </w:rPr>
        <w:t>ЗАКАЗЧИК:</w:t>
      </w:r>
    </w:p>
    <w:p>
      <w:pPr>
        <w:pStyle w:val="Style13"/>
        <w:widowControl w:val="0"/>
        <w:keepNext w:val="0"/>
        <w:keepLines w:val="0"/>
        <w:shd w:val="clear" w:color="auto" w:fill="auto"/>
        <w:bidi w:val="0"/>
        <w:jc w:val="left"/>
        <w:spacing w:before="0" w:after="304"/>
        <w:ind w:left="340" w:right="340" w:firstLine="0"/>
      </w:pPr>
      <w:r>
        <w:rPr>
          <w:lang w:val="ru-RU" w:eastAsia="ru-RU" w:bidi="ru-RU"/>
          <w:w w:val="100"/>
          <w:spacing w:val="0"/>
          <w:color w:val="000000"/>
          <w:position w:val="0"/>
        </w:rPr>
        <w:t xml:space="preserve">Федеральное государственное бюджетное военное образовательное учреждение высшего образования «Черноморское высшее военно- морское ордена красной звезды училище имени П.С. Нахимова» Министерства обороны Российской Федерации (г. Севастополь) ул. Павла Дыбенко, дом 1, корп. А, г. Севастополь, 299028 </w:t>
      </w:r>
      <w:r>
        <w:fldChar w:fldCharType="begin"/>
      </w:r>
      <w:r>
        <w:rPr>
          <w:rStyle w:val="CharStyle15"/>
        </w:rPr>
        <w:instrText> HYPERLINK "mailto:kschvvmy@vandex.ru" </w:instrText>
      </w:r>
      <w:r>
        <w:fldChar w:fldCharType="separate"/>
      </w:r>
      <w:r>
        <w:rPr>
          <w:rStyle w:val="Hyperlink"/>
        </w:rPr>
        <w:t>kschvvmy@vandex.ru</w:t>
      </w:r>
      <w:r>
        <w:fldChar w:fldCharType="end"/>
      </w:r>
    </w:p>
    <w:p>
      <w:pPr>
        <w:pStyle w:val="Style13"/>
        <w:widowControl w:val="0"/>
        <w:keepNext w:val="0"/>
        <w:keepLines w:val="0"/>
        <w:shd w:val="clear" w:color="auto" w:fill="auto"/>
        <w:bidi w:val="0"/>
        <w:jc w:val="left"/>
        <w:spacing w:before="0" w:after="0" w:line="312" w:lineRule="exact"/>
        <w:ind w:left="340" w:right="0" w:firstLine="0"/>
      </w:pPr>
      <w:r>
        <w:rPr>
          <w:rStyle w:val="CharStyle15"/>
          <w:lang w:val="ru-RU" w:eastAsia="ru-RU" w:bidi="ru-RU"/>
        </w:rPr>
        <w:t>ЗАЯВИТЕЛЬ:</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Общество с ограниченной</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ответственностью</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«Т ехпромкомплект»</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ул. Льва Толстого, д. 7, лит. А, ч.н.п.</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№5-Н (6Б,7), г. Санкт-Петербург,</w:t>
      </w:r>
    </w:p>
    <w:p>
      <w:pPr>
        <w:pStyle w:val="Style13"/>
        <w:widowControl w:val="0"/>
        <w:keepNext w:val="0"/>
        <w:keepLines w:val="0"/>
        <w:shd w:val="clear" w:color="auto" w:fill="auto"/>
        <w:bidi w:val="0"/>
        <w:jc w:val="left"/>
        <w:spacing w:before="0" w:after="0" w:line="312" w:lineRule="exact"/>
        <w:ind w:left="340" w:right="0" w:firstLine="0"/>
      </w:pPr>
      <w:r>
        <w:rPr>
          <w:lang w:val="ru-RU" w:eastAsia="ru-RU" w:bidi="ru-RU"/>
          <w:w w:val="100"/>
          <w:spacing w:val="0"/>
          <w:color w:val="000000"/>
          <w:position w:val="0"/>
        </w:rPr>
        <w:t>197022</w:t>
      </w:r>
    </w:p>
    <w:p>
      <w:pPr>
        <w:pStyle w:val="Style13"/>
        <w:widowControl w:val="0"/>
        <w:keepNext w:val="0"/>
        <w:keepLines w:val="0"/>
        <w:shd w:val="clear" w:color="auto" w:fill="auto"/>
        <w:bidi w:val="0"/>
        <w:jc w:val="left"/>
        <w:spacing w:before="0" w:after="0" w:line="312" w:lineRule="exact"/>
        <w:ind w:left="340" w:right="0" w:firstLine="0"/>
        <w:sectPr>
          <w:type w:val="continuous"/>
          <w:pgSz w:w="11906" w:h="16838"/>
          <w:pgMar w:top="511" w:left="858" w:right="800" w:bottom="540" w:header="0" w:footer="3" w:gutter="0"/>
          <w:rtlGutter w:val="0"/>
          <w:cols w:num="2" w:space="905"/>
          <w:noEndnote/>
          <w:docGrid w:linePitch="360"/>
        </w:sectPr>
      </w:pPr>
      <w:r>
        <w:fldChar w:fldCharType="begin"/>
      </w:r>
      <w:r>
        <w:rPr>
          <w:rStyle w:val="CharStyle15"/>
        </w:rPr>
        <w:instrText> HYPERLINK "mailto:tehpromckomplekt.ooo@vandex.ru" </w:instrText>
      </w:r>
      <w:r>
        <w:fldChar w:fldCharType="separate"/>
      </w:r>
      <w:r>
        <w:rPr>
          <w:rStyle w:val="Hyperlink"/>
        </w:rPr>
        <w:t>tehpromckomplekt.ooo@vandex.ru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0" w:line="312" w:lineRule="exact"/>
        <w:ind w:left="20" w:right="0" w:firstLine="0"/>
      </w:pPr>
      <w:r>
        <w:rPr>
          <w:lang w:val="ru-RU" w:eastAsia="ru-RU" w:bidi="ru-RU"/>
          <w:w w:val="100"/>
          <w:spacing w:val="0"/>
          <w:color w:val="000000"/>
          <w:position w:val="0"/>
        </w:rPr>
        <w:t>ПРЕДПИСАНИЕ</w:t>
      </w:r>
    </w:p>
    <w:p>
      <w:pPr>
        <w:pStyle w:val="Style13"/>
        <w:tabs>
          <w:tab w:leader="none" w:pos="8545" w:val="left"/>
        </w:tabs>
        <w:widowControl w:val="0"/>
        <w:keepNext w:val="0"/>
        <w:keepLines w:val="0"/>
        <w:shd w:val="clear" w:color="auto" w:fill="auto"/>
        <w:bidi w:val="0"/>
        <w:jc w:val="left"/>
        <w:spacing w:before="0" w:after="0" w:line="312" w:lineRule="exact"/>
        <w:ind w:left="20" w:right="180" w:firstLine="3020"/>
      </w:pPr>
      <w:r>
        <w:rPr>
          <w:lang w:val="ru-RU" w:eastAsia="ru-RU" w:bidi="ru-RU"/>
          <w:w w:val="100"/>
          <w:spacing w:val="0"/>
          <w:color w:val="000000"/>
          <w:position w:val="0"/>
        </w:rPr>
        <w:t>по делу №092/06/105-295/2021 о нарушении законодательства об осуществлении закупок 27 октября 2021 года</w:t>
        <w:tab/>
        <w:t>г. Севастополь</w:t>
      </w:r>
    </w:p>
    <w:p>
      <w:pPr>
        <w:pStyle w:val="Style13"/>
        <w:widowControl w:val="0"/>
        <w:keepNext w:val="0"/>
        <w:keepLines w:val="0"/>
        <w:shd w:val="clear" w:color="auto" w:fill="auto"/>
        <w:bidi w:val="0"/>
        <w:jc w:val="both"/>
        <w:spacing w:before="0" w:after="180" w:line="312" w:lineRule="exact"/>
        <w:ind w:left="20" w:right="2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Кулькова К.В. - специалист-эксперт Отдела Управления, член Комиссии, руководствуясь статьей 99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на основании своего решения от 27 октября 2021 года по делу №092/06/105-295/2021 по жалобе Общества с ограниченной ответственностью «Техпромкомплект» (далее - Заявитель) на действия Федерального государственного бюджетного военного образовательного учреждения высшего образования «Черноморское высшее военно-морское ордена красной звезды училище имени П.С. Нахимова» Министерства обороны Российской Федерации (г. Севастополь) (далее - Заказчик) при проведении закрытого конкура с учетом положений ст. 111 Закона № 44-ФЗ на оказание услуг по техническому обслуживанию и содержанию объектов, административных зданий и казарменно</w:t>
        <w:softHyphen/>
        <w:t>жилищного фонда ЧВВМУ в 2021-2023 гг., извещение № 0374100000521000027 (далее - Закупка)</w:t>
      </w:r>
    </w:p>
    <w:p>
      <w:pPr>
        <w:pStyle w:val="Style13"/>
        <w:widowControl w:val="0"/>
        <w:keepNext w:val="0"/>
        <w:keepLines w:val="0"/>
        <w:shd w:val="clear" w:color="auto" w:fill="auto"/>
        <w:bidi w:val="0"/>
        <w:jc w:val="left"/>
        <w:spacing w:before="0" w:after="0" w:line="312" w:lineRule="exact"/>
        <w:ind w:left="4460" w:right="0" w:firstLine="0"/>
      </w:pPr>
      <w:r>
        <w:rPr>
          <w:lang w:val="ru-RU" w:eastAsia="ru-RU" w:bidi="ru-RU"/>
          <w:w w:val="100"/>
          <w:spacing w:val="0"/>
          <w:color w:val="000000"/>
          <w:position w:val="0"/>
        </w:rPr>
        <w:t>ПРЕДПИСЫВАЕТ:</w:t>
      </w:r>
    </w:p>
    <w:p>
      <w:pPr>
        <w:pStyle w:val="Style13"/>
        <w:widowControl w:val="0"/>
        <w:keepNext w:val="0"/>
        <w:keepLines w:val="0"/>
        <w:shd w:val="clear" w:color="auto" w:fill="auto"/>
        <w:bidi w:val="0"/>
        <w:jc w:val="both"/>
        <w:spacing w:before="0" w:after="0" w:line="312" w:lineRule="exact"/>
        <w:ind w:left="20" w:right="20" w:firstLine="380"/>
      </w:pPr>
      <w:r>
        <w:rPr>
          <w:lang w:val="ru-RU" w:eastAsia="ru-RU" w:bidi="ru-RU"/>
          <w:w w:val="100"/>
          <w:spacing w:val="0"/>
          <w:color w:val="000000"/>
          <w:position w:val="0"/>
        </w:rPr>
        <w:t>1. Федеральному государственному бюджетному военному образовательному учреждению высшего образования «Черноморское высшее военно-морское ордена красной звезды училище имени П.С. Нахимова» Министерства обороны Российской Федерации (г. Севастополь):</w:t>
      </w:r>
    </w:p>
    <w:p>
      <w:pPr>
        <w:pStyle w:val="Style13"/>
        <w:numPr>
          <w:ilvl w:val="0"/>
          <w:numId w:val="7"/>
        </w:numPr>
        <w:widowControl w:val="0"/>
        <w:keepNext w:val="0"/>
        <w:keepLines w:val="0"/>
        <w:shd w:val="clear" w:color="auto" w:fill="auto"/>
        <w:bidi w:val="0"/>
        <w:jc w:val="both"/>
        <w:spacing w:before="0" w:after="0" w:line="312" w:lineRule="exact"/>
        <w:ind w:left="20" w:right="20" w:firstLine="580"/>
      </w:pPr>
      <w:r>
        <w:rPr>
          <w:lang w:val="ru-RU" w:eastAsia="ru-RU" w:bidi="ru-RU"/>
          <w:w w:val="100"/>
          <w:spacing w:val="0"/>
          <w:color w:val="000000"/>
          <w:position w:val="0"/>
        </w:rPr>
        <w:t xml:space="preserve"> аннулировать определение поставщика (подрядчика, исполнителя) путем проведения закрытого конкура (извещение № 0374100000521000027) атакже разместить на Официальном сайте информацию об аннулировании;</w:t>
      </w:r>
    </w:p>
    <w:p>
      <w:pPr>
        <w:pStyle w:val="Style13"/>
        <w:numPr>
          <w:ilvl w:val="0"/>
          <w:numId w:val="7"/>
        </w:numPr>
        <w:widowControl w:val="0"/>
        <w:keepNext w:val="0"/>
        <w:keepLines w:val="0"/>
        <w:shd w:val="clear" w:color="auto" w:fill="auto"/>
        <w:bidi w:val="0"/>
        <w:jc w:val="both"/>
        <w:spacing w:before="0" w:after="222" w:line="312" w:lineRule="exact"/>
        <w:ind w:left="20" w:right="20" w:firstLine="580"/>
      </w:pPr>
      <w:r>
        <w:rPr>
          <w:lang w:val="ru-RU" w:eastAsia="ru-RU" w:bidi="ru-RU"/>
          <w:w w:val="100"/>
          <w:spacing w:val="0"/>
          <w:color w:val="000000"/>
          <w:position w:val="0"/>
        </w:rPr>
        <w:t xml:space="preserve"> об исполнении настоящего предписания сообщить в Управление в срок до </w:t>
      </w:r>
      <w:r>
        <w:rPr>
          <w:rStyle w:val="CharStyle15"/>
          <w:lang w:val="ru-RU" w:eastAsia="ru-RU" w:bidi="ru-RU"/>
        </w:rPr>
        <w:t>19 ноября 2021</w:t>
      </w:r>
      <w:r>
        <w:rPr>
          <w:lang w:val="ru-RU" w:eastAsia="ru-RU" w:bidi="ru-RU"/>
          <w:w w:val="100"/>
          <w:spacing w:val="0"/>
          <w:color w:val="000000"/>
          <w:position w:val="0"/>
        </w:rPr>
        <w:t xml:space="preserve"> </w:t>
      </w:r>
      <w:r>
        <w:rPr>
          <w:rStyle w:val="CharStyle15"/>
          <w:lang w:val="ru-RU" w:eastAsia="ru-RU" w:bidi="ru-RU"/>
        </w:rPr>
        <w:t>года</w:t>
      </w:r>
      <w:r>
        <w:rPr>
          <w:lang w:val="ru-RU" w:eastAsia="ru-RU" w:bidi="ru-RU"/>
          <w:w w:val="100"/>
          <w:spacing w:val="0"/>
          <w:color w:val="000000"/>
          <w:position w:val="0"/>
        </w:rPr>
        <w:t xml:space="preserve"> с приложением документов, подтверждающих исполнения пункта 1.1-1.3 настоящего предписания.</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Предписание может быть обжаловано в суде (Арбитражном суде) в соответствии с законодательством Российской Федерации.</w:t>
      </w:r>
    </w:p>
    <w:p>
      <w:pPr>
        <w:pStyle w:val="Style7"/>
        <w:widowControl w:val="0"/>
        <w:keepNext w:val="0"/>
        <w:keepLines w:val="0"/>
        <w:shd w:val="clear" w:color="auto" w:fill="auto"/>
        <w:bidi w:val="0"/>
        <w:jc w:val="both"/>
        <w:spacing w:before="0" w:after="0"/>
        <w:ind w:left="20" w:right="20" w:firstLine="720"/>
      </w:pPr>
      <w:r>
        <w:rPr>
          <w:rStyle w:val="CharStyle9"/>
          <w:lang w:val="ru-RU" w:eastAsia="ru-RU" w:bidi="ru-RU"/>
        </w:rPr>
        <w:t>Примечание:</w:t>
      </w:r>
      <w:r>
        <w:rPr>
          <w:lang w:val="ru-RU" w:eastAsia="ru-RU" w:bidi="ru-RU"/>
          <w:w w:val="100"/>
          <w:spacing w:val="0"/>
          <w:color w:val="000000"/>
          <w:position w:val="0"/>
        </w:rPr>
        <w:t xml:space="preserve"> в соответствии с частью 25 статьи 99 Закона о контрактной системе, в случае поступления информации о неисполнении выданного в соответствии с пунктом 2 части 22 статьи 99 Закона о контрактной системе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pPr>
        <w:pStyle w:val="Style7"/>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соответствии с частью 7 статьи 19.5 Кодекса Российской Федерации об административных правонарушениях от 30 декабря 2001 года № 195-ФЗ (далее - КоАП РФ),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статьи 19.5 КоАП,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7"/>
        <w:widowControl w:val="0"/>
        <w:keepNext w:val="0"/>
        <w:keepLines w:val="0"/>
        <w:shd w:val="clear" w:color="auto" w:fill="auto"/>
        <w:bidi w:val="0"/>
        <w:jc w:val="both"/>
        <w:spacing w:before="0" w:after="623"/>
        <w:ind w:left="20" w:right="20" w:firstLine="720"/>
      </w:pPr>
      <w:r>
        <w:rPr>
          <w:lang w:val="ru-RU" w:eastAsia="ru-RU" w:bidi="ru-RU"/>
          <w:w w:val="100"/>
          <w:spacing w:val="0"/>
          <w:color w:val="000000"/>
          <w:position w:val="0"/>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pPr>
        <w:pStyle w:val="Style13"/>
        <w:widowControl w:val="0"/>
        <w:keepNext w:val="0"/>
        <w:keepLines w:val="0"/>
        <w:shd w:val="clear" w:color="auto" w:fill="auto"/>
        <w:bidi w:val="0"/>
        <w:jc w:val="both"/>
        <w:spacing w:before="0" w:after="543" w:line="230" w:lineRule="exact"/>
        <w:ind w:left="2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1031" w:left="820" w:right="861" w:bottom="7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21"/>
      <w:szCs w:val="21"/>
      <w:rFonts w:ascii="Times New Roman" w:eastAsia="Times New Roman" w:hAnsi="Times New Roman" w:cs="Times New Roman"/>
      <w:spacing w:val="-13"/>
    </w:rPr>
  </w:style>
  <w:style w:type="character" w:customStyle="1" w:styleId="CharStyle6">
    <w:name w:val="Основной текст (2)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Заголовок №1_"/>
    <w:basedOn w:val="DefaultParagraphFont"/>
    <w:link w:val="Style10"/>
    <w:rPr>
      <w:lang w:val="en-US" w:eastAsia="en-US" w:bidi="en-US"/>
      <w:b w:val="0"/>
      <w:bCs w:val="0"/>
      <w:i/>
      <w:iCs/>
      <w:u w:val="none"/>
      <w:strike w:val="0"/>
      <w:smallCaps w:val="0"/>
      <w:sz w:val="50"/>
      <w:szCs w:val="50"/>
      <w:rFonts w:ascii="Times New Roman" w:eastAsia="Times New Roman" w:hAnsi="Times New Roman" w:cs="Times New Roman"/>
      <w:spacing w:val="-60"/>
    </w:rPr>
  </w:style>
  <w:style w:type="character" w:customStyle="1" w:styleId="CharStyle12">
    <w:name w:val="Заголовок №1"/>
    <w:basedOn w:val="CharStyle11"/>
    <w:rPr>
      <w:w w:val="10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w:basedOn w:val="CharStyle14"/>
    <w:rPr>
      <w:lang w:val="en-US" w:eastAsia="en-US" w:bidi="en-US"/>
      <w:u w:val="single"/>
      <w:w w:val="100"/>
      <w:spacing w:val="0"/>
      <w:color w:val="000000"/>
      <w:position w:val="0"/>
    </w:rPr>
  </w:style>
  <w:style w:type="character" w:customStyle="1" w:styleId="CharStyle16">
    <w:name w:val="Основной текст"/>
    <w:basedOn w:val="CharStyle14"/>
    <w:rPr>
      <w:lang w:val="ru-RU" w:eastAsia="ru-RU" w:bidi="ru-RU"/>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3"/>
      <w:szCs w:val="23"/>
      <w:rFonts w:ascii="Times New Roman" w:eastAsia="Times New Roman" w:hAnsi="Times New Roman" w:cs="Times New Roman"/>
      <w:spacing w:val="20"/>
    </w:rPr>
  </w:style>
  <w:style w:type="character" w:customStyle="1" w:styleId="CharStyle19">
    <w:name w:val="Основной текст (5) + Интервал 0 pt"/>
    <w:basedOn w:val="CharStyle18"/>
    <w:rPr>
      <w:lang w:val="ru-RU" w:eastAsia="ru-RU" w:bidi="ru-RU"/>
      <w:w w:val="100"/>
      <w:spacing w:val="-10"/>
      <w:color w:val="000000"/>
      <w:position w:val="0"/>
    </w:rPr>
  </w:style>
  <w:style w:type="character" w:customStyle="1" w:styleId="CharStyle21">
    <w:name w:val="Заголовок №2_"/>
    <w:basedOn w:val="DefaultParagraphFont"/>
    <w:link w:val="Style20"/>
    <w:rPr>
      <w:lang w:val="en-US" w:eastAsia="en-US" w:bidi="en-US"/>
      <w:b w:val="0"/>
      <w:bCs w:val="0"/>
      <w:i/>
      <w:iCs/>
      <w:u w:val="none"/>
      <w:strike w:val="0"/>
      <w:smallCaps w:val="0"/>
      <w:sz w:val="32"/>
      <w:szCs w:val="32"/>
      <w:rFonts w:ascii="Franklin Gothic Medium" w:eastAsia="Franklin Gothic Medium" w:hAnsi="Franklin Gothic Medium" w:cs="Franklin Gothic Medium"/>
      <w:spacing w:val="-50"/>
    </w:rPr>
  </w:style>
  <w:style w:type="character" w:customStyle="1" w:styleId="CharStyle22">
    <w:name w:val="Заголовок №2"/>
    <w:basedOn w:val="CharStyle21"/>
    <w:rPr>
      <w:w w:val="100"/>
      <w:color w:val="000000"/>
      <w:position w:val="0"/>
    </w:rPr>
  </w:style>
  <w:style w:type="character" w:customStyle="1" w:styleId="CharStyle23">
    <w:name w:val="Заголовок №2 + 12 pt,Не курсив,Интервал 0 pt"/>
    <w:basedOn w:val="CharStyle21"/>
    <w:rPr>
      <w:i/>
      <w:iCs/>
      <w:sz w:val="24"/>
      <w:szCs w:val="24"/>
      <w:w w:val="100"/>
      <w:spacing w:val="0"/>
      <w:color w:val="000000"/>
      <w:position w:val="0"/>
    </w:rPr>
  </w:style>
  <w:style w:type="character" w:customStyle="1" w:styleId="CharStyle24">
    <w:name w:val="Заголовок №2 + 12 pt,Не курсив,Интервал 0 pt"/>
    <w:basedOn w:val="CharStyle21"/>
    <w:rPr>
      <w:lang w:val="ru-RU" w:eastAsia="ru-RU" w:bidi="ru-RU"/>
      <w:i/>
      <w:iCs/>
      <w:sz w:val="24"/>
      <w:szCs w:val="24"/>
      <w:w w:val="100"/>
      <w:spacing w:val="0"/>
      <w:color w:val="000000"/>
      <w:position w:val="0"/>
    </w:rPr>
  </w:style>
  <w:style w:type="character" w:customStyle="1" w:styleId="CharStyle26">
    <w:name w:val="Основной текст (6)_"/>
    <w:basedOn w:val="DefaultParagraphFont"/>
    <w:link w:val="Style25"/>
    <w:rPr>
      <w:b w:val="0"/>
      <w:bCs w:val="0"/>
      <w:i w:val="0"/>
      <w:iCs w:val="0"/>
      <w:u w:val="none"/>
      <w:strike w:val="0"/>
      <w:smallCaps w:val="0"/>
      <w:sz w:val="13"/>
      <w:szCs w:val="13"/>
      <w:rFonts w:ascii="Times New Roman" w:eastAsia="Times New Roman" w:hAnsi="Times New Roman" w:cs="Times New Roman"/>
      <w:spacing w:val="-20"/>
    </w:rPr>
  </w:style>
  <w:style w:type="paragraph" w:customStyle="1" w:styleId="Style3">
    <w:name w:val="Основной текст (4)"/>
    <w:basedOn w:val="Normal"/>
    <w:link w:val="CharStyle4"/>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spacing w:val="-13"/>
    </w:rPr>
  </w:style>
  <w:style w:type="paragraph" w:customStyle="1" w:styleId="Style5">
    <w:name w:val="Основной текст (2)"/>
    <w:basedOn w:val="Normal"/>
    <w:link w:val="CharStyle6"/>
    <w:pPr>
      <w:widowControl w:val="0"/>
      <w:shd w:val="clear" w:color="auto" w:fill="FFFFFF"/>
      <w:jc w:val="center"/>
      <w:spacing w:before="120" w:after="120" w:line="31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240" w:line="259"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240" w:after="240" w:line="0" w:lineRule="exact"/>
    </w:pPr>
    <w:rPr>
      <w:lang w:val="en-US" w:eastAsia="en-US" w:bidi="en-US"/>
      <w:b w:val="0"/>
      <w:bCs w:val="0"/>
      <w:i/>
      <w:iCs/>
      <w:u w:val="none"/>
      <w:strike w:val="0"/>
      <w:smallCaps w:val="0"/>
      <w:sz w:val="50"/>
      <w:szCs w:val="50"/>
      <w:rFonts w:ascii="Times New Roman" w:eastAsia="Times New Roman" w:hAnsi="Times New Roman" w:cs="Times New Roman"/>
      <w:spacing w:val="-60"/>
    </w:rPr>
  </w:style>
  <w:style w:type="paragraph" w:customStyle="1" w:styleId="Style13">
    <w:name w:val="Основной текст"/>
    <w:basedOn w:val="Normal"/>
    <w:link w:val="CharStyle14"/>
    <w:pPr>
      <w:widowControl w:val="0"/>
      <w:shd w:val="clear" w:color="auto" w:fill="FFFFFF"/>
      <w:spacing w:line="31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before="120" w:after="120" w:line="312" w:lineRule="exact"/>
    </w:pPr>
    <w:rPr>
      <w:b w:val="0"/>
      <w:bCs w:val="0"/>
      <w:i w:val="0"/>
      <w:iCs w:val="0"/>
      <w:u w:val="none"/>
      <w:strike w:val="0"/>
      <w:smallCaps w:val="0"/>
      <w:sz w:val="23"/>
      <w:szCs w:val="23"/>
      <w:rFonts w:ascii="Times New Roman" w:eastAsia="Times New Roman" w:hAnsi="Times New Roman" w:cs="Times New Roman"/>
      <w:spacing w:val="20"/>
    </w:rPr>
  </w:style>
  <w:style w:type="paragraph" w:customStyle="1" w:styleId="Style20">
    <w:name w:val="Заголовок №2"/>
    <w:basedOn w:val="Normal"/>
    <w:link w:val="CharStyle21"/>
    <w:pPr>
      <w:widowControl w:val="0"/>
      <w:shd w:val="clear" w:color="auto" w:fill="FFFFFF"/>
      <w:jc w:val="right"/>
      <w:outlineLvl w:val="1"/>
      <w:spacing w:before="120" w:line="0" w:lineRule="exact"/>
    </w:pPr>
    <w:rPr>
      <w:lang w:val="en-US" w:eastAsia="en-US" w:bidi="en-US"/>
      <w:b w:val="0"/>
      <w:bCs w:val="0"/>
      <w:i/>
      <w:iCs/>
      <w:u w:val="none"/>
      <w:strike w:val="0"/>
      <w:smallCaps w:val="0"/>
      <w:sz w:val="32"/>
      <w:szCs w:val="32"/>
      <w:rFonts w:ascii="Franklin Gothic Medium" w:eastAsia="Franklin Gothic Medium" w:hAnsi="Franklin Gothic Medium" w:cs="Franklin Gothic Medium"/>
      <w:spacing w:val="-50"/>
    </w:rPr>
  </w:style>
  <w:style w:type="paragraph" w:customStyle="1" w:styleId="Style25">
    <w:name w:val="Основной текст (6)"/>
    <w:basedOn w:val="Normal"/>
    <w:link w:val="CharStyle26"/>
    <w:pPr>
      <w:widowControl w:val="0"/>
      <w:shd w:val="clear" w:color="auto" w:fill="FFFFFF"/>
      <w:jc w:val="both"/>
      <w:spacing w:line="288" w:lineRule="exact"/>
    </w:pPr>
    <w:rPr>
      <w:b w:val="0"/>
      <w:bCs w:val="0"/>
      <w:i w:val="0"/>
      <w:iCs w:val="0"/>
      <w:u w:val="none"/>
      <w:strike w:val="0"/>
      <w:smallCaps w:val="0"/>
      <w:sz w:val="13"/>
      <w:szCs w:val="13"/>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