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219" w:line="260" w:lineRule="exact"/>
        <w:ind w:left="5340" w:right="0" w:firstLine="0"/>
      </w:pPr>
      <w:r>
        <w:rPr>
          <w:lang w:val="ru-RU" w:eastAsia="ru-RU" w:bidi="ru-RU"/>
          <w:w w:val="100"/>
          <w:spacing w:val="0"/>
          <w:color w:val="000000"/>
          <w:position w:val="0"/>
        </w:rPr>
        <w:t>ОАТИ</w:t>
      </w:r>
    </w:p>
    <w:p>
      <w:pPr>
        <w:pStyle w:val="Style5"/>
        <w:widowControl w:val="0"/>
        <w:keepNext w:val="0"/>
        <w:keepLines w:val="0"/>
        <w:shd w:val="clear" w:color="auto" w:fill="auto"/>
        <w:bidi w:val="0"/>
        <w:jc w:val="left"/>
        <w:spacing w:before="0" w:after="259" w:line="283" w:lineRule="exact"/>
        <w:ind w:left="5340" w:right="420" w:firstLine="0"/>
      </w:pPr>
      <w:r>
        <w:rPr>
          <w:lang w:val="ru-RU" w:eastAsia="ru-RU" w:bidi="ru-RU"/>
          <w:w w:val="100"/>
          <w:spacing w:val="0"/>
          <w:color w:val="000000"/>
          <w:position w:val="0"/>
        </w:rPr>
        <w:t>ул. Большая Полянка, д 41, г. Москва, 119180</w:t>
      </w:r>
    </w:p>
    <w:p>
      <w:pPr>
        <w:pStyle w:val="Style5"/>
        <w:widowControl w:val="0"/>
        <w:keepNext w:val="0"/>
        <w:keepLines w:val="0"/>
        <w:shd w:val="clear" w:color="auto" w:fill="auto"/>
        <w:bidi w:val="0"/>
        <w:jc w:val="left"/>
        <w:spacing w:before="0" w:after="214" w:line="260" w:lineRule="exact"/>
        <w:ind w:left="5340" w:right="0" w:firstLine="0"/>
      </w:pPr>
      <w:r>
        <w:rPr>
          <w:lang w:val="ru-RU" w:eastAsia="ru-RU" w:bidi="ru-RU"/>
          <w:w w:val="100"/>
          <w:spacing w:val="0"/>
          <w:color w:val="000000"/>
          <w:position w:val="0"/>
        </w:rPr>
        <w:t>ГБУ «СЦ 44»</w:t>
      </w:r>
    </w:p>
    <w:p>
      <w:pPr>
        <w:pStyle w:val="Style5"/>
        <w:widowControl w:val="0"/>
        <w:keepNext w:val="0"/>
        <w:keepLines w:val="0"/>
        <w:shd w:val="clear" w:color="auto" w:fill="auto"/>
        <w:bidi w:val="0"/>
        <w:jc w:val="left"/>
        <w:spacing w:before="0" w:after="259" w:line="283" w:lineRule="exact"/>
        <w:ind w:left="5340" w:right="420" w:firstLine="0"/>
      </w:pPr>
      <w:r>
        <w:rPr>
          <w:lang w:val="ru-RU" w:eastAsia="ru-RU" w:bidi="ru-RU"/>
          <w:w w:val="100"/>
          <w:spacing w:val="0"/>
          <w:color w:val="000000"/>
          <w:position w:val="0"/>
        </w:rPr>
        <w:t>Мира пр-т., д. 48, стр. 2, г. Москва, 129110</w:t>
      </w:r>
    </w:p>
    <w:p>
      <w:pPr>
        <w:pStyle w:val="Style5"/>
        <w:widowControl w:val="0"/>
        <w:keepNext w:val="0"/>
        <w:keepLines w:val="0"/>
        <w:shd w:val="clear" w:color="auto" w:fill="auto"/>
        <w:bidi w:val="0"/>
        <w:jc w:val="left"/>
        <w:spacing w:before="0" w:after="217" w:line="260" w:lineRule="exact"/>
        <w:ind w:left="5340" w:right="0" w:firstLine="0"/>
      </w:pPr>
      <w:r>
        <w:rPr>
          <w:lang w:val="ru-RU" w:eastAsia="ru-RU" w:bidi="ru-RU"/>
          <w:w w:val="100"/>
          <w:spacing w:val="0"/>
          <w:color w:val="000000"/>
          <w:position w:val="0"/>
        </w:rPr>
        <w:t>ООО «Компания ТРУША»</w:t>
      </w:r>
    </w:p>
    <w:p>
      <w:pPr>
        <w:pStyle w:val="Style5"/>
        <w:widowControl w:val="0"/>
        <w:keepNext w:val="0"/>
        <w:keepLines w:val="0"/>
        <w:shd w:val="clear" w:color="auto" w:fill="auto"/>
        <w:bidi w:val="0"/>
        <w:jc w:val="left"/>
        <w:spacing w:before="0" w:after="1169" w:line="278" w:lineRule="exact"/>
        <w:ind w:left="5340" w:right="280" w:firstLine="0"/>
      </w:pPr>
      <w:r>
        <w:rPr>
          <w:lang w:val="ru-RU" w:eastAsia="ru-RU" w:bidi="ru-RU"/>
          <w:w w:val="100"/>
          <w:spacing w:val="0"/>
          <w:color w:val="000000"/>
          <w:position w:val="0"/>
        </w:rPr>
        <w:t>пер. 4-й Лихачевский, д. 2, стр. 1, эт. 1, комн. 18, г. Москва, 125438</w:t>
      </w:r>
    </w:p>
    <w:p>
      <w:pPr>
        <w:pStyle w:val="Style8"/>
        <w:tabs>
          <w:tab w:leader="none" w:pos="9141" w:val="right"/>
          <w:tab w:leader="none" w:pos="10197" w:val="right"/>
        </w:tabs>
        <w:widowControl w:val="0"/>
        <w:keepNext w:val="0"/>
        <w:keepLines w:val="0"/>
        <w:shd w:val="clear" w:color="auto" w:fill="auto"/>
        <w:bidi w:val="0"/>
        <w:jc w:val="left"/>
        <w:spacing w:before="0" w:after="0"/>
        <w:ind w:left="40" w:right="20"/>
      </w:pPr>
      <w:r>
        <w:rPr>
          <w:lang w:val="ru-RU" w:eastAsia="ru-RU" w:bidi="ru-RU"/>
          <w:w w:val="100"/>
          <w:spacing w:val="0"/>
          <w:color w:val="000000"/>
          <w:position w:val="0"/>
        </w:rPr>
        <w:t>РЕШЕНИЕ по делу №077/06/106-19093/2021 о нарушении Законодательства о контрактной системе 27.10.2021</w:t>
        <w:tab/>
        <w:t>г.</w:t>
        <w:tab/>
        <w:t>Москва</w:t>
      </w:r>
    </w:p>
    <w:p>
      <w:pPr>
        <w:pStyle w:val="Style5"/>
        <w:widowControl w:val="0"/>
        <w:keepNext w:val="0"/>
        <w:keepLines w:val="0"/>
        <w:shd w:val="clear" w:color="auto" w:fill="auto"/>
        <w:bidi w:val="0"/>
        <w:jc w:val="both"/>
        <w:spacing w:before="0" w:after="0" w:line="317" w:lineRule="exact"/>
        <w:ind w:left="40" w:right="20" w:firstLine="6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left"/>
        <w:spacing w:before="0" w:after="0" w:line="317" w:lineRule="exact"/>
        <w:ind w:left="40" w:right="20" w:firstLine="68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Е.А. Мироновой, Членов комиссии:</w:t>
      </w:r>
    </w:p>
    <w:p>
      <w:pPr>
        <w:pStyle w:val="Style5"/>
        <w:widowControl w:val="0"/>
        <w:keepNext w:val="0"/>
        <w:keepLines w:val="0"/>
        <w:shd w:val="clear" w:color="auto" w:fill="auto"/>
        <w:bidi w:val="0"/>
        <w:jc w:val="both"/>
        <w:spacing w:before="0" w:after="0" w:line="317" w:lineRule="exact"/>
        <w:ind w:left="40" w:right="20" w:firstLine="680"/>
      </w:pPr>
      <w:r>
        <w:rPr>
          <w:lang w:val="ru-RU" w:eastAsia="ru-RU" w:bidi="ru-RU"/>
          <w:w w:val="100"/>
          <w:spacing w:val="0"/>
          <w:color w:val="000000"/>
          <w:position w:val="0"/>
        </w:rPr>
        <w:t>Специалиста-эксперта отдела обжалования государственных закупок А.А. Матюшенко,</w:t>
      </w:r>
    </w:p>
    <w:p>
      <w:pPr>
        <w:pStyle w:val="Style5"/>
        <w:widowControl w:val="0"/>
        <w:keepNext w:val="0"/>
        <w:keepLines w:val="0"/>
        <w:shd w:val="clear" w:color="auto" w:fill="auto"/>
        <w:bidi w:val="0"/>
        <w:jc w:val="both"/>
        <w:spacing w:before="0" w:after="0" w:line="317" w:lineRule="exact"/>
        <w:ind w:left="40" w:right="20" w:firstLine="680"/>
      </w:pPr>
      <w:r>
        <w:rPr>
          <w:lang w:val="ru-RU" w:eastAsia="ru-RU" w:bidi="ru-RU"/>
          <w:w w:val="100"/>
          <w:spacing w:val="0"/>
          <w:color w:val="000000"/>
          <w:position w:val="0"/>
        </w:rPr>
        <w:t>Специалиста первого разряда отдела обжалования государственных закупок Э.З. Гугава,</w:t>
      </w:r>
    </w:p>
    <w:p>
      <w:pPr>
        <w:pStyle w:val="Style3"/>
        <w:framePr w:w="1685" w:h="394" w:wrap="around" w:vAnchor="text" w:hAnchor="margin" w:x="385" w:y="4628"/>
        <w:widowControl w:val="0"/>
        <w:keepNext w:val="0"/>
        <w:keepLines w:val="0"/>
        <w:shd w:val="clear" w:color="auto" w:fill="auto"/>
        <w:bidi w:val="0"/>
        <w:jc w:val="left"/>
        <w:spacing w:before="0" w:after="0" w:line="240" w:lineRule="auto"/>
        <w:ind w:left="0" w:right="0" w:firstLine="0"/>
      </w:pPr>
      <w:r>
        <w:rPr>
          <w:w w:val="100"/>
          <w:spacing w:val="0"/>
          <w:color w:val="000000"/>
          <w:position w:val="0"/>
        </w:rPr>
        <w:t>002064766669</w:t>
      </w:r>
    </w:p>
    <w:p>
      <w:pPr>
        <w:pStyle w:val="Style5"/>
        <w:widowControl w:val="0"/>
        <w:keepNext w:val="0"/>
        <w:keepLines w:val="0"/>
        <w:shd w:val="clear" w:color="auto" w:fill="auto"/>
        <w:bidi w:val="0"/>
        <w:jc w:val="both"/>
        <w:spacing w:before="0" w:after="0" w:line="317" w:lineRule="exact"/>
        <w:ind w:left="40" w:right="20" w:firstLine="68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при участии представителей ООО «Компания ТРУША», ОАТИ, рассмотрев жалобу ООО «Компания ТРУША» (далее — Заявитель) на действия ОАТИ (далее — Заказчик) при проведении электронного аукциона на право заключения государственного контракта на поставку светосигнального оборудования с дополнительными материалами (Закупка № 0173200001021000023)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w:t>
      </w:r>
      <w:r>
        <w:br w:type="page"/>
      </w:r>
    </w:p>
    <w:p>
      <w:pPr>
        <w:pStyle w:val="Style5"/>
        <w:widowControl w:val="0"/>
        <w:keepNext w:val="0"/>
        <w:keepLines w:val="0"/>
        <w:shd w:val="clear" w:color="auto" w:fill="auto"/>
        <w:bidi w:val="0"/>
        <w:jc w:val="both"/>
        <w:spacing w:before="0" w:after="342" w:line="312" w:lineRule="exact"/>
        <w:ind w:left="20" w:right="20" w:firstLine="0"/>
      </w:pPr>
      <w:r>
        <w:rPr>
          <w:lang w:val="ru-RU" w:eastAsia="ru-RU" w:bidi="ru-RU"/>
          <w:w w:val="100"/>
          <w:spacing w:val="0"/>
          <w:color w:val="000000"/>
          <w:position w:val="0"/>
        </w:rPr>
        <w:t>(бездействие)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(далее - Административный регламент),</w:t>
      </w:r>
    </w:p>
    <w:p>
      <w:pPr>
        <w:pStyle w:val="Style10"/>
        <w:widowControl w:val="0"/>
        <w:keepNext/>
        <w:keepLines/>
        <w:shd w:val="clear" w:color="auto" w:fill="auto"/>
        <w:bidi w:val="0"/>
        <w:jc w:val="left"/>
        <w:spacing w:before="0" w:after="315" w:line="260" w:lineRule="exact"/>
        <w:ind w:left="446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12" w:lineRule="exact"/>
        <w:ind w:left="20" w:right="20" w:firstLine="8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5"/>
        <w:widowControl w:val="0"/>
        <w:keepNext w:val="0"/>
        <w:keepLines w:val="0"/>
        <w:shd w:val="clear" w:color="auto" w:fill="auto"/>
        <w:bidi w:val="0"/>
        <w:jc w:val="both"/>
        <w:spacing w:before="0" w:after="0" w:line="312" w:lineRule="exact"/>
        <w:ind w:left="20" w:right="20" w:firstLine="800"/>
      </w:pPr>
      <w:r>
        <w:rPr>
          <w:lang w:val="ru-RU" w:eastAsia="ru-RU" w:bidi="ru-RU"/>
          <w:w w:val="100"/>
          <w:spacing w:val="0"/>
          <w:color w:val="000000"/>
          <w:position w:val="0"/>
        </w:rPr>
        <w:t>Заявитель обжалует действия Заказчика, выразившиеся в утверждении аукционной документации в нарушение Закона о контрактной системе.</w:t>
      </w:r>
    </w:p>
    <w:p>
      <w:pPr>
        <w:pStyle w:val="Style5"/>
        <w:widowControl w:val="0"/>
        <w:keepNext w:val="0"/>
        <w:keepLines w:val="0"/>
        <w:shd w:val="clear" w:color="auto" w:fill="auto"/>
        <w:bidi w:val="0"/>
        <w:jc w:val="both"/>
        <w:spacing w:before="0" w:after="0" w:line="312" w:lineRule="exact"/>
        <w:ind w:left="20" w:right="20" w:firstLine="80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письмом Московского УФАС России исх. № ЕИ/65021/21 от 22.10.2021, Комиссия Управления установила следующее.</w:t>
      </w:r>
    </w:p>
    <w:p>
      <w:pPr>
        <w:pStyle w:val="Style5"/>
        <w:widowControl w:val="0"/>
        <w:keepNext w:val="0"/>
        <w:keepLines w:val="0"/>
        <w:shd w:val="clear" w:color="auto" w:fill="auto"/>
        <w:bidi w:val="0"/>
        <w:jc w:val="both"/>
        <w:spacing w:before="0" w:after="0" w:line="312" w:lineRule="exact"/>
        <w:ind w:left="20" w:right="20" w:firstLine="800"/>
      </w:pPr>
      <w:r>
        <w:rPr>
          <w:lang w:val="ru-RU" w:eastAsia="ru-RU" w:bidi="ru-RU"/>
          <w:w w:val="100"/>
          <w:spacing w:val="0"/>
          <w:color w:val="000000"/>
          <w:position w:val="0"/>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 в том числе обоснование начальной (максимальной) цены контракта.</w:t>
      </w:r>
    </w:p>
    <w:p>
      <w:pPr>
        <w:pStyle w:val="Style5"/>
        <w:widowControl w:val="0"/>
        <w:keepNext w:val="0"/>
        <w:keepLines w:val="0"/>
        <w:shd w:val="clear" w:color="auto" w:fill="auto"/>
        <w:bidi w:val="0"/>
        <w:jc w:val="both"/>
        <w:spacing w:before="0" w:after="0" w:line="312" w:lineRule="exact"/>
        <w:ind w:left="20" w:right="20" w:firstLine="800"/>
      </w:pPr>
      <w:r>
        <w:rPr>
          <w:lang w:val="ru-RU" w:eastAsia="ru-RU" w:bidi="ru-RU"/>
          <w:w w:val="100"/>
          <w:spacing w:val="0"/>
          <w:color w:val="000000"/>
          <w:position w:val="0"/>
        </w:rPr>
        <w:t>На основании п.1 ч.1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5"/>
        <w:widowControl w:val="0"/>
        <w:keepNext w:val="0"/>
        <w:keepLines w:val="0"/>
        <w:shd w:val="clear" w:color="auto" w:fill="auto"/>
        <w:bidi w:val="0"/>
        <w:jc w:val="both"/>
        <w:spacing w:before="0" w:after="0" w:line="312" w:lineRule="exact"/>
        <w:ind w:left="20" w:right="20" w:firstLine="800"/>
      </w:pPr>
      <w:r>
        <w:rPr>
          <w:lang w:val="ru-RU" w:eastAsia="ru-RU" w:bidi="ru-RU"/>
          <w:w w:val="100"/>
          <w:spacing w:val="0"/>
          <w:color w:val="000000"/>
          <w:position w:val="0"/>
        </w:rPr>
        <w:t>В силу ч. 2 ст. 33 Закона о контрактной системе документация о закупке в соответствии с требованиями, указанными в ч. 1 ст.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widowControl w:val="0"/>
        <w:keepNext w:val="0"/>
        <w:keepLines w:val="0"/>
        <w:shd w:val="clear" w:color="auto" w:fill="auto"/>
        <w:bidi w:val="0"/>
        <w:jc w:val="both"/>
        <w:spacing w:before="0" w:after="0" w:line="312" w:lineRule="exact"/>
        <w:ind w:left="20" w:right="20" w:firstLine="800"/>
      </w:pPr>
      <w:r>
        <w:rPr>
          <w:lang w:val="ru-RU" w:eastAsia="ru-RU" w:bidi="ru-RU"/>
          <w:w w:val="100"/>
          <w:spacing w:val="0"/>
          <w:color w:val="000000"/>
          <w:position w:val="0"/>
        </w:rPr>
        <w:t xml:space="preserve">Согласно доводам Заявителя в составе технического задания Заказчика установлено требование об использовании товара с указанием товарного знака без сопровождением слов «или эквивалент», таким образом при поставке товара исполнителю контракта представляется возможным использовать исключительно световозвращающую пленку компании </w:t>
      </w:r>
      <w:r>
        <w:rPr>
          <w:lang w:val="en-US" w:eastAsia="en-US" w:bidi="en-US"/>
          <w:w w:val="100"/>
          <w:spacing w:val="0"/>
          <w:color w:val="000000"/>
          <w:position w:val="0"/>
        </w:rPr>
        <w:t xml:space="preserve">Minnesota Mining and Manufacturing Company, </w:t>
      </w:r>
      <w:r>
        <w:rPr>
          <w:lang w:val="ru-RU" w:eastAsia="ru-RU" w:bidi="ru-RU"/>
          <w:w w:val="100"/>
          <w:spacing w:val="0"/>
          <w:color w:val="000000"/>
          <w:position w:val="0"/>
        </w:rPr>
        <w:t xml:space="preserve">США (далее </w:t>
      </w:r>
      <w:r>
        <w:rPr>
          <w:lang w:val="en-US" w:eastAsia="en-US" w:bidi="en-US"/>
          <w:w w:val="100"/>
          <w:spacing w:val="0"/>
          <w:color w:val="000000"/>
          <w:position w:val="0"/>
        </w:rPr>
        <w:t xml:space="preserve">- </w:t>
      </w:r>
      <w:r>
        <w:rPr>
          <w:lang w:val="ru-RU" w:eastAsia="ru-RU" w:bidi="ru-RU"/>
          <w:w w:val="100"/>
          <w:spacing w:val="0"/>
          <w:color w:val="000000"/>
          <w:position w:val="0"/>
        </w:rPr>
        <w:t xml:space="preserve">3М) серии </w:t>
      </w:r>
      <w:r>
        <w:rPr>
          <w:lang w:val="en-US" w:eastAsia="en-US" w:bidi="en-US"/>
          <w:w w:val="100"/>
          <w:spacing w:val="0"/>
          <w:color w:val="000000"/>
          <w:position w:val="0"/>
        </w:rPr>
        <w:t>680CR.</w:t>
      </w:r>
    </w:p>
    <w:p>
      <w:pPr>
        <w:pStyle w:val="Style5"/>
        <w:widowControl w:val="0"/>
        <w:keepNext w:val="0"/>
        <w:keepLines w:val="0"/>
        <w:shd w:val="clear" w:color="auto" w:fill="auto"/>
        <w:bidi w:val="0"/>
        <w:jc w:val="both"/>
        <w:spacing w:before="0" w:after="0" w:line="312" w:lineRule="exact"/>
        <w:ind w:left="20" w:right="20" w:firstLine="800"/>
      </w:pPr>
      <w:r>
        <w:rPr>
          <w:lang w:val="ru-RU" w:eastAsia="ru-RU" w:bidi="ru-RU"/>
          <w:w w:val="100"/>
          <w:spacing w:val="0"/>
          <w:color w:val="000000"/>
          <w:position w:val="0"/>
        </w:rPr>
        <w:t xml:space="preserve">Комиссией Управления установлено, что в составе технического задания присутствует товара с указанием товарного знака: «Пленка 3М серии </w:t>
      </w:r>
      <w:r>
        <w:rPr>
          <w:lang w:val="en-US" w:eastAsia="en-US" w:bidi="en-US"/>
          <w:w w:val="100"/>
          <w:spacing w:val="0"/>
          <w:color w:val="000000"/>
          <w:position w:val="0"/>
        </w:rPr>
        <w:t>680CR*».</w:t>
      </w:r>
    </w:p>
    <w:p>
      <w:pPr>
        <w:pStyle w:val="Style5"/>
        <w:widowControl w:val="0"/>
        <w:keepNext w:val="0"/>
        <w:keepLines w:val="0"/>
        <w:shd w:val="clear" w:color="auto" w:fill="auto"/>
        <w:bidi w:val="0"/>
        <w:jc w:val="both"/>
        <w:spacing w:before="0" w:after="0" w:line="312" w:lineRule="exact"/>
        <w:ind w:left="20" w:right="20" w:firstLine="800"/>
      </w:pPr>
      <w:r>
        <w:rPr>
          <w:lang w:val="ru-RU" w:eastAsia="ru-RU" w:bidi="ru-RU"/>
          <w:w w:val="100"/>
          <w:spacing w:val="0"/>
          <w:color w:val="000000"/>
          <w:position w:val="0"/>
        </w:rPr>
        <w:t xml:space="preserve">*«В соответствии с п. 1. ч. 1 ст. 33 от 05 апреля 2013 года № 44-ФЗ «О контрактной системе в сфере закупок товаров, работ, услуг для обеспечения государственных и муниципальных нужд» в аукционной документации при описании материалов необходимых для оказания услуг, содержится указание на товарный знак, в связи с необходимостью взаимодействия таких товаров с товарами, используемыми Государственным заказчиком: в связи с тем, что с 01 июля 2019 года вступил в силу ГОСТ Р 50574-2019, согласно которому введены новые требования к нанесению цветографических схем, опознавательных знаков и информационных надписей на поверхность служебных транспортных средств, а также учитывая, что с 2019 года на служебный транспорт ГУ МВД России по г. Москве цветографические схемы наносились световозвращающей пленкой 3МТМ серии </w:t>
      </w:r>
      <w:r>
        <w:rPr>
          <w:lang w:val="en-US" w:eastAsia="en-US" w:bidi="en-US"/>
          <w:w w:val="100"/>
          <w:spacing w:val="0"/>
          <w:color w:val="000000"/>
          <w:position w:val="0"/>
        </w:rPr>
        <w:t xml:space="preserve">823i, </w:t>
      </w:r>
      <w:r>
        <w:rPr>
          <w:lang w:val="ru-RU" w:eastAsia="ru-RU" w:bidi="ru-RU"/>
          <w:w w:val="100"/>
          <w:spacing w:val="0"/>
          <w:color w:val="000000"/>
          <w:position w:val="0"/>
        </w:rPr>
        <w:t>которая соответствует ГОСТ Р 50574-2019, использование другой пленки будет иметь другой оттенок цвета, качество и фактуру, может не иметь световозвращающих эффектов, что не позволит устранять недостатки специальной оклейки служебного транспорта путем частичной замены элементов цветографических схем, опознавательных знаков и информационных надписей, а так же для однообразия внешнего вида служебного транспорта».</w:t>
      </w:r>
    </w:p>
    <w:p>
      <w:pPr>
        <w:pStyle w:val="Style5"/>
        <w:widowControl w:val="0"/>
        <w:keepNext w:val="0"/>
        <w:keepLines w:val="0"/>
        <w:shd w:val="clear" w:color="auto" w:fill="auto"/>
        <w:bidi w:val="0"/>
        <w:jc w:val="both"/>
        <w:spacing w:before="0" w:after="0" w:line="312" w:lineRule="exact"/>
        <w:ind w:left="20" w:right="20" w:firstLine="800"/>
      </w:pPr>
      <w:r>
        <w:rPr>
          <w:lang w:val="ru-RU" w:eastAsia="ru-RU" w:bidi="ru-RU"/>
          <w:w w:val="100"/>
          <w:spacing w:val="0"/>
          <w:color w:val="000000"/>
          <w:position w:val="0"/>
        </w:rPr>
        <w:t>В соответствии с ч.2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12" w:lineRule="exact"/>
        <w:ind w:left="20" w:right="20" w:firstLine="800"/>
      </w:pPr>
      <w:r>
        <w:rPr>
          <w:lang w:val="ru-RU" w:eastAsia="ru-RU" w:bidi="ru-RU"/>
          <w:w w:val="100"/>
          <w:spacing w:val="0"/>
          <w:color w:val="000000"/>
          <w:position w:val="0"/>
        </w:rPr>
        <w:t xml:space="preserve">На заседании Комиссии Управления представитель Заказчика пояснил, что световозвращающая пленка компании 3М серии </w:t>
      </w:r>
      <w:r>
        <w:rPr>
          <w:lang w:val="en-US" w:eastAsia="en-US" w:bidi="en-US"/>
          <w:w w:val="100"/>
          <w:spacing w:val="0"/>
          <w:color w:val="000000"/>
          <w:position w:val="0"/>
        </w:rPr>
        <w:t xml:space="preserve">680CR </w:t>
      </w:r>
      <w:r>
        <w:rPr>
          <w:lang w:val="ru-RU" w:eastAsia="ru-RU" w:bidi="ru-RU"/>
          <w:w w:val="100"/>
          <w:spacing w:val="0"/>
          <w:color w:val="000000"/>
          <w:position w:val="0"/>
        </w:rPr>
        <w:t xml:space="preserve">уже использована для оклейки большей части транспорта имеющегося у Заказчика, в связи с чем закупаемая пленка должна быть визуально совместима с уже используемой, так как при использовании иной пленки, при необходимости замены части пленки на транспортном средстве Заказчик будет вынужден осуществлять переклейку транспортного средства полностью, что неизбежно потребует дополнительных расходов бюджетных средств, таким образом, в отсутствие пленки иного производителя идентичной пленке 3М серии </w:t>
      </w:r>
      <w:r>
        <w:rPr>
          <w:lang w:val="en-US" w:eastAsia="en-US" w:bidi="en-US"/>
          <w:w w:val="100"/>
          <w:spacing w:val="0"/>
          <w:color w:val="000000"/>
          <w:position w:val="0"/>
        </w:rPr>
        <w:t xml:space="preserve">680CR, </w:t>
      </w:r>
      <w:r>
        <w:rPr>
          <w:lang w:val="ru-RU" w:eastAsia="ru-RU" w:bidi="ru-RU"/>
          <w:w w:val="100"/>
          <w:spacing w:val="0"/>
          <w:color w:val="000000"/>
          <w:position w:val="0"/>
        </w:rPr>
        <w:t>Заказчиком установлено требование о поставке конкретной пленки определенного производителя.</w:t>
      </w:r>
    </w:p>
    <w:p>
      <w:pPr>
        <w:pStyle w:val="Style5"/>
        <w:widowControl w:val="0"/>
        <w:keepNext w:val="0"/>
        <w:keepLines w:val="0"/>
        <w:shd w:val="clear" w:color="auto" w:fill="auto"/>
        <w:bidi w:val="0"/>
        <w:jc w:val="both"/>
        <w:spacing w:before="0" w:after="0" w:line="312" w:lineRule="exact"/>
        <w:ind w:left="20" w:right="20" w:firstLine="800"/>
      </w:pPr>
      <w:r>
        <w:rPr>
          <w:lang w:val="ru-RU" w:eastAsia="ru-RU" w:bidi="ru-RU"/>
          <w:w w:val="100"/>
          <w:spacing w:val="0"/>
          <w:color w:val="000000"/>
          <w:position w:val="0"/>
        </w:rPr>
        <w:t>Согласно ч.9 ст.105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0" w:line="312" w:lineRule="exact"/>
        <w:ind w:left="20" w:right="20" w:firstLine="800"/>
      </w:pPr>
      <w:r>
        <w:rPr>
          <w:lang w:val="ru-RU" w:eastAsia="ru-RU" w:bidi="ru-RU"/>
          <w:w w:val="100"/>
          <w:spacing w:val="0"/>
          <w:color w:val="000000"/>
          <w:position w:val="0"/>
        </w:rPr>
        <w:t>Вместе с тем, на заседании Комиссии Управления представитель Заявителя, а также в составе жалобы Заявителем не представлено доказательств того, что у Заказчика объективно отсутствует необходимость в получении требуемой световозвращающей пленки на условиях аукционной документации. В свою очередь, при наличии у Заказчика потребности в получении определенных товаров</w:t>
        <w:br w:type="page"/>
        <w:t>вести речь о необоснованном ограничении им количества потенциальных участников закупки не приходится. Доказательств обратного Заявителем Комиссии Управления не представлено.</w:t>
      </w:r>
    </w:p>
    <w:p>
      <w:pPr>
        <w:pStyle w:val="Style5"/>
        <w:widowControl w:val="0"/>
        <w:keepNext w:val="0"/>
        <w:keepLines w:val="0"/>
        <w:shd w:val="clear" w:color="auto" w:fill="auto"/>
        <w:bidi w:val="0"/>
        <w:jc w:val="both"/>
        <w:spacing w:before="0" w:after="0" w:line="312" w:lineRule="exact"/>
        <w:ind w:left="20" w:right="20" w:firstLine="800"/>
      </w:pPr>
      <w:r>
        <w:rPr>
          <w:lang w:val="ru-RU" w:eastAsia="ru-RU" w:bidi="ru-RU"/>
          <w:w w:val="100"/>
          <w:spacing w:val="0"/>
          <w:color w:val="000000"/>
          <w:position w:val="0"/>
        </w:rPr>
        <w:t>Таким образом, Комиссия Управления приходит к выводу, что довод жалобы не нашел своего подтверждения и является необоснованным.</w:t>
      </w:r>
    </w:p>
    <w:p>
      <w:pPr>
        <w:pStyle w:val="Style5"/>
        <w:widowControl w:val="0"/>
        <w:keepNext w:val="0"/>
        <w:keepLines w:val="0"/>
        <w:shd w:val="clear" w:color="auto" w:fill="auto"/>
        <w:bidi w:val="0"/>
        <w:jc w:val="both"/>
        <w:spacing w:before="0" w:after="342" w:line="312" w:lineRule="exact"/>
        <w:ind w:left="20" w:right="20" w:firstLine="80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 727/14, Законом о контрактной системе, Комиссия Управления</w:t>
      </w:r>
    </w:p>
    <w:p>
      <w:pPr>
        <w:pStyle w:val="Style10"/>
        <w:widowControl w:val="0"/>
        <w:keepNext/>
        <w:keepLines/>
        <w:shd w:val="clear" w:color="auto" w:fill="auto"/>
        <w:bidi w:val="0"/>
        <w:jc w:val="left"/>
        <w:spacing w:before="0" w:after="307" w:line="260" w:lineRule="exact"/>
        <w:ind w:left="4820" w:right="0" w:firstLine="0"/>
      </w:pPr>
      <w:bookmarkStart w:id="1" w:name="bookmark1"/>
      <w:r>
        <w:rPr>
          <w:lang w:val="ru-RU" w:eastAsia="ru-RU" w:bidi="ru-RU"/>
          <w:w w:val="100"/>
          <w:spacing w:val="0"/>
          <w:color w:val="000000"/>
          <w:position w:val="0"/>
        </w:rPr>
        <w:t>РЕШИЛА:</w:t>
      </w:r>
      <w:bookmarkEnd w:id="1"/>
    </w:p>
    <w:p>
      <w:pPr>
        <w:pStyle w:val="Style5"/>
        <w:numPr>
          <w:ilvl w:val="0"/>
          <w:numId w:val="1"/>
        </w:numPr>
        <w:widowControl w:val="0"/>
        <w:keepNext w:val="0"/>
        <w:keepLines w:val="0"/>
        <w:shd w:val="clear" w:color="auto" w:fill="auto"/>
        <w:bidi w:val="0"/>
        <w:jc w:val="both"/>
        <w:spacing w:before="0" w:after="0" w:line="317" w:lineRule="exact"/>
        <w:ind w:left="20" w:right="20" w:firstLine="800"/>
      </w:pPr>
      <w:r>
        <w:rPr>
          <w:lang w:val="ru-RU" w:eastAsia="ru-RU" w:bidi="ru-RU"/>
          <w:w w:val="100"/>
          <w:spacing w:val="0"/>
          <w:color w:val="000000"/>
          <w:position w:val="0"/>
        </w:rPr>
        <w:t>Признать жалобу ООО «Компания ТРУША» на действия ОАТИ необоснованной.</w:t>
      </w:r>
    </w:p>
    <w:p>
      <w:pPr>
        <w:pStyle w:val="Style5"/>
        <w:numPr>
          <w:ilvl w:val="0"/>
          <w:numId w:val="1"/>
        </w:numPr>
        <w:widowControl w:val="0"/>
        <w:keepNext w:val="0"/>
        <w:keepLines w:val="0"/>
        <w:shd w:val="clear" w:color="auto" w:fill="auto"/>
        <w:bidi w:val="0"/>
        <w:jc w:val="both"/>
        <w:spacing w:before="0" w:line="312" w:lineRule="exact"/>
        <w:ind w:left="20" w:right="20" w:firstLine="800"/>
      </w:pPr>
      <w:r>
        <w:rPr>
          <w:lang w:val="ru-RU" w:eastAsia="ru-RU" w:bidi="ru-RU"/>
          <w:w w:val="100"/>
          <w:spacing w:val="0"/>
          <w:color w:val="000000"/>
          <w:position w:val="0"/>
        </w:rPr>
        <w:t>Снять ограничения на определение поставщика (подрядчика, исполнителя), наложенные письмом Московского УФАС России №ЕИ/65021/21 от 22.10.2021.</w:t>
      </w:r>
    </w:p>
    <w:p>
      <w:pPr>
        <w:pStyle w:val="Style5"/>
        <w:widowControl w:val="0"/>
        <w:keepNext w:val="0"/>
        <w:keepLines w:val="0"/>
        <w:shd w:val="clear" w:color="auto" w:fill="auto"/>
        <w:bidi w:val="0"/>
        <w:jc w:val="both"/>
        <w:spacing w:before="0" w:after="204" w:line="312" w:lineRule="exact"/>
        <w:ind w:left="20" w:right="20" w:firstLine="42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framePr w:w="4528" w:h="859" w:wrap="around" w:vAnchor="text" w:hAnchor="margin" w:x="63" w:y="-149"/>
        <w:widowControl w:val="0"/>
        <w:keepNext w:val="0"/>
        <w:keepLines w:val="0"/>
        <w:shd w:val="clear" w:color="auto" w:fill="auto"/>
        <w:bidi w:val="0"/>
        <w:jc w:val="both"/>
        <w:spacing w:before="0" w:after="0" w:line="427" w:lineRule="exact"/>
        <w:ind w:left="0" w:right="100" w:firstLine="0"/>
      </w:pPr>
      <w:r>
        <w:rPr>
          <w:rStyle w:val="CharStyle6"/>
          <w:spacing w:val="0"/>
        </w:rPr>
        <w:t>Заместитель председателя Комиссии Члены Комиссии:</w:t>
      </w:r>
    </w:p>
    <w:p>
      <w:pPr>
        <w:pStyle w:val="Style5"/>
        <w:widowControl w:val="0"/>
        <w:keepNext w:val="0"/>
        <w:keepLines w:val="0"/>
        <w:shd w:val="clear" w:color="auto" w:fill="auto"/>
        <w:bidi w:val="0"/>
        <w:jc w:val="left"/>
        <w:spacing w:before="0" w:after="5081" w:line="432" w:lineRule="exact"/>
        <w:ind w:left="3440" w:right="20" w:firstLine="260"/>
      </w:pPr>
      <w:r>
        <w:rPr>
          <w:lang w:val="ru-RU" w:eastAsia="ru-RU" w:bidi="ru-RU"/>
          <w:w w:val="100"/>
          <w:spacing w:val="0"/>
          <w:color w:val="000000"/>
          <w:position w:val="0"/>
        </w:rPr>
        <w:t>Е.А. Миронова А.А. Матюшенко Э.З. Гугава</w:t>
      </w:r>
    </w:p>
    <w:p>
      <w:pPr>
        <w:pStyle w:val="Style12"/>
        <w:widowControl w:val="0"/>
        <w:keepNext w:val="0"/>
        <w:keepLines w:val="0"/>
        <w:shd w:val="clear" w:color="auto" w:fill="auto"/>
        <w:bidi w:val="0"/>
        <w:jc w:val="left"/>
        <w:spacing w:before="0" w:after="0"/>
        <w:ind w:left="20" w:right="7520" w:firstLine="0"/>
      </w:pPr>
      <w:r>
        <w:rPr>
          <w:lang w:val="ru-RU" w:eastAsia="ru-RU" w:bidi="ru-RU"/>
          <w:w w:val="100"/>
          <w:spacing w:val="0"/>
          <w:color w:val="000000"/>
          <w:position w:val="0"/>
        </w:rPr>
        <w:t>Исп. Гугава Эдуард Звиадович 8 (495)784-75-05</w:t>
      </w:r>
    </w:p>
    <w:sectPr>
      <w:footnotePr>
        <w:pos w:val="pageBottom"/>
        <w:numFmt w:val="decimal"/>
        <w:numRestart w:val="continuous"/>
      </w:footnotePr>
      <w:type w:val="continuous"/>
      <w:pgSz w:w="11906" w:h="16838"/>
      <w:pgMar w:top="1075" w:left="846" w:right="822"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7">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2)_"/>
    <w:basedOn w:val="DefaultParagraphFont"/>
    <w:link w:val="Style8"/>
    <w:rPr>
      <w:b/>
      <w:bCs/>
      <w:i w:val="0"/>
      <w:iCs w:val="0"/>
      <w:u w:val="none"/>
      <w:strike w:val="0"/>
      <w:smallCaps w:val="0"/>
      <w:sz w:val="26"/>
      <w:szCs w:val="26"/>
      <w:rFonts w:ascii="Times New Roman" w:eastAsia="Times New Roman" w:hAnsi="Times New Roman" w:cs="Times New Roman"/>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7"/>
    <w:pPr>
      <w:widowControl w:val="0"/>
      <w:shd w:val="clear" w:color="auto" w:fill="FFFFFF"/>
      <w:spacing w:after="30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spacing w:before="1200" w:line="317" w:lineRule="exact"/>
      <w:ind w:firstLine="4360"/>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before="4920" w:line="23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