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74" w:after="89" w:line="210" w:lineRule="exact"/>
        <w:ind w:left="0" w:right="0" w:firstLine="0"/>
      </w:pPr>
      <w:r>
        <w:rPr>
          <w:lang w:val="ru-RU" w:eastAsia="ru-RU" w:bidi="ru-RU"/>
          <w:w w:val="100"/>
          <w:spacing w:val="0"/>
          <w:color w:val="000000"/>
          <w:position w:val="0"/>
        </w:rPr>
        <w:t>ФЕДЕРАЛЬНАЯ</w:t>
      </w:r>
    </w:p>
    <w:p>
      <w:pPr>
        <w:pStyle w:val="Style5"/>
        <w:widowControl w:val="0"/>
        <w:keepNext w:val="0"/>
        <w:keepLines w:val="0"/>
        <w:shd w:val="clear" w:color="auto" w:fill="auto"/>
        <w:bidi w:val="0"/>
        <w:spacing w:before="0" w:after="23" w:line="220" w:lineRule="exact"/>
        <w:ind w:left="0" w:right="0" w:firstLine="0"/>
      </w:pPr>
      <w:r>
        <w:rPr>
          <w:lang w:val="ru-RU" w:eastAsia="ru-RU" w:bidi="ru-RU"/>
          <w:w w:val="100"/>
          <w:color w:val="000000"/>
          <w:position w:val="0"/>
        </w:rPr>
        <w:t>АНТИМОНОПОЛЬНАЯ СЛУЖБА</w:t>
      </w:r>
    </w:p>
    <w:p>
      <w:pPr>
        <w:pStyle w:val="Style3"/>
        <w:widowControl w:val="0"/>
        <w:keepNext w:val="0"/>
        <w:keepLines w:val="0"/>
        <w:shd w:val="clear" w:color="auto" w:fill="auto"/>
        <w:bidi w:val="0"/>
        <w:spacing w:before="0" w:after="0" w:line="312" w:lineRule="exact"/>
        <w:ind w:left="0" w:right="0" w:firstLine="0"/>
      </w:pPr>
      <w:r>
        <w:rPr>
          <w:rStyle w:val="CharStyle7"/>
          <w:b w:val="0"/>
          <w:bCs w:val="0"/>
        </w:rPr>
        <w:t xml:space="preserve">УПРАВЛЕНИЕ </w:t>
      </w:r>
      <w:r>
        <w:rPr>
          <w:lang w:val="ru-RU" w:eastAsia="ru-RU" w:bidi="ru-RU"/>
          <w:w w:val="100"/>
          <w:spacing w:val="0"/>
          <w:color w:val="000000"/>
          <w:position w:val="0"/>
        </w:rPr>
        <w:t>Федеральной антимонопольной службы</w:t>
      </w:r>
    </w:p>
    <w:p>
      <w:pPr>
        <w:pStyle w:val="Style5"/>
        <w:widowControl w:val="0"/>
        <w:keepNext w:val="0"/>
        <w:keepLines w:val="0"/>
        <w:shd w:val="clear" w:color="auto" w:fill="auto"/>
        <w:bidi w:val="0"/>
        <w:spacing w:before="0" w:after="93" w:line="220" w:lineRule="exact"/>
        <w:ind w:left="0" w:right="0" w:firstLine="0"/>
      </w:pPr>
      <w:r>
        <w:rPr>
          <w:lang w:val="ru-RU" w:eastAsia="ru-RU" w:bidi="ru-RU"/>
          <w:w w:val="100"/>
          <w:color w:val="000000"/>
          <w:position w:val="0"/>
        </w:rPr>
        <w:t>но Амурской области</w:t>
      </w:r>
    </w:p>
    <w:p>
      <w:pPr>
        <w:pStyle w:val="Style8"/>
        <w:widowControl w:val="0"/>
        <w:keepNext w:val="0"/>
        <w:keepLines w:val="0"/>
        <w:shd w:val="clear" w:color="auto" w:fill="auto"/>
        <w:bidi w:val="0"/>
        <w:spacing w:before="0" w:after="0"/>
        <w:ind w:left="0" w:right="0" w:firstLine="0"/>
      </w:pPr>
      <w:r>
        <w:rPr>
          <w:lang w:val="ru-RU" w:eastAsia="ru-RU" w:bidi="ru-RU"/>
          <w:w w:val="100"/>
          <w:color w:val="000000"/>
          <w:position w:val="0"/>
        </w:rPr>
        <w:t>ул. Амурлсл, 150, г. Блл-ллценск,</w:t>
      </w:r>
    </w:p>
    <w:p>
      <w:pPr>
        <w:pStyle w:val="Style8"/>
        <w:widowControl w:val="0"/>
        <w:keepNext w:val="0"/>
        <w:keepLines w:val="0"/>
        <w:shd w:val="clear" w:color="auto" w:fill="auto"/>
        <w:bidi w:val="0"/>
        <w:spacing w:before="0" w:after="105"/>
        <w:ind w:left="0" w:right="0" w:firstLine="0"/>
      </w:pPr>
      <w:r>
        <w:rPr>
          <w:lang w:val="ru-RU" w:eastAsia="ru-RU" w:bidi="ru-RU"/>
          <w:w w:val="100"/>
          <w:color w:val="000000"/>
          <w:position w:val="0"/>
        </w:rPr>
        <w:t xml:space="preserve">Амуре- ;5 обллегь, 675000 тел. (4162) 52-00-07, фглс (4162) 52-00-35 </w:t>
      </w:r>
      <w:r>
        <w:rPr>
          <w:lang w:val="en-US" w:eastAsia="en-US" w:bidi="en-US"/>
          <w:w w:val="100"/>
          <w:color w:val="000000"/>
          <w:position w:val="0"/>
        </w:rPr>
        <w:t>E-mail: to2</w:t>
      </w:r>
      <w:r>
        <w:rPr>
          <w:lang w:val="en-US" w:eastAsia="en-US" w:bidi="en-US"/>
          <w:vertAlign w:val="superscript"/>
          <w:w w:val="100"/>
          <w:color w:val="000000"/>
          <w:position w:val="0"/>
        </w:rPr>
        <w:t>s</w:t>
      </w:r>
      <w:r>
        <w:rPr>
          <w:lang w:val="en-US" w:eastAsia="en-US" w:bidi="en-US"/>
          <w:w w:val="100"/>
          <w:color w:val="000000"/>
          <w:position w:val="0"/>
        </w:rPr>
        <w:t>;Af?e gcv.ru</w:t>
      </w:r>
    </w:p>
    <w:p>
      <w:pPr>
        <w:pStyle w:val="Style10"/>
        <w:widowControl w:val="0"/>
        <w:keepNext/>
        <w:keepLines/>
        <w:shd w:val="clear" w:color="auto" w:fill="auto"/>
        <w:bidi w:val="0"/>
        <w:jc w:val="left"/>
        <w:spacing w:before="0" w:after="153" w:line="240" w:lineRule="exact"/>
        <w:ind w:left="460" w:right="0" w:firstLine="0"/>
      </w:pPr>
      <w:bookmarkStart w:id="0" w:name="bookmark0"/>
      <w:r>
        <w:rPr>
          <w:rStyle w:val="CharStyle12"/>
          <w:b/>
          <w:bCs/>
        </w:rPr>
        <w:t>0</w:t>
      </w:r>
      <w:r>
        <w:rPr>
          <w:rStyle w:val="CharStyle13"/>
          <w:b w:val="0"/>
          <w:bCs w:val="0"/>
        </w:rPr>
        <w:t xml:space="preserve"> </w:t>
      </w:r>
      <w:r>
        <w:rPr>
          <w:rStyle w:val="CharStyle12"/>
          <w:b/>
          <w:bCs/>
        </w:rPr>
        <w:t>8</w:t>
      </w:r>
      <w:r>
        <w:rPr>
          <w:rStyle w:val="CharStyle13"/>
          <w:b w:val="0"/>
          <w:bCs w:val="0"/>
        </w:rPr>
        <w:t xml:space="preserve">, </w:t>
      </w:r>
      <w:r>
        <w:rPr>
          <w:rStyle w:val="CharStyle12"/>
          <w:b/>
          <w:bCs/>
        </w:rPr>
        <w:t>1</w:t>
      </w:r>
      <w:r>
        <w:rPr>
          <w:rStyle w:val="CharStyle13"/>
          <w:b w:val="0"/>
          <w:bCs w:val="0"/>
        </w:rPr>
        <w:t xml:space="preserve"> </w:t>
      </w:r>
      <w:r>
        <w:rPr>
          <w:rStyle w:val="CharStyle12"/>
          <w:b/>
          <w:bCs/>
        </w:rPr>
        <w:t>1</w:t>
      </w:r>
      <w:r>
        <w:rPr>
          <w:rStyle w:val="CharStyle13"/>
          <w:b w:val="0"/>
          <w:bCs w:val="0"/>
        </w:rPr>
        <w:t xml:space="preserve">. </w:t>
      </w:r>
      <w:r>
        <w:rPr>
          <w:rStyle w:val="CharStyle12"/>
          <w:b/>
          <w:bCs/>
        </w:rPr>
        <w:t>2021</w:t>
      </w:r>
      <w:bookmarkEnd w:id="0"/>
    </w:p>
    <w:p>
      <w:pPr>
        <w:pStyle w:val="Style8"/>
        <w:tabs>
          <w:tab w:leader="none" w:pos="2674" w:val="center"/>
        </w:tabs>
        <w:widowControl w:val="0"/>
        <w:keepNext w:val="0"/>
        <w:keepLines w:val="0"/>
        <w:shd w:val="clear" w:color="auto" w:fill="auto"/>
        <w:bidi w:val="0"/>
        <w:jc w:val="both"/>
        <w:spacing w:before="0" w:after="0" w:line="160" w:lineRule="exact"/>
        <w:ind w:left="20" w:right="0" w:firstLine="0"/>
      </w:pPr>
      <w:r>
        <w:rPr>
          <w:lang w:val="ru-RU" w:eastAsia="ru-RU" w:bidi="ru-RU"/>
          <w:w w:val="100"/>
          <w:color w:val="000000"/>
          <w:position w:val="0"/>
        </w:rPr>
        <w:t>На №</w:t>
        <w:tab/>
        <w:t>от</w:t>
      </w:r>
    </w:p>
    <w:p>
      <w:pPr>
        <w:pStyle w:val="Style14"/>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Муниципальному заказчику:</w:t>
      </w:r>
    </w:p>
    <w:p>
      <w:pPr>
        <w:pStyle w:val="Style16"/>
        <w:widowControl w:val="0"/>
        <w:keepNext w:val="0"/>
        <w:keepLines w:val="0"/>
        <w:shd w:val="clear" w:color="auto" w:fill="auto"/>
        <w:bidi w:val="0"/>
        <w:jc w:val="left"/>
        <w:spacing w:before="0" w:after="244"/>
        <w:ind w:left="20" w:right="0" w:firstLine="0"/>
      </w:pPr>
      <w:r>
        <w:rPr>
          <w:lang w:val="ru-RU" w:eastAsia="ru-RU" w:bidi="ru-RU"/>
          <w:sz w:val="24"/>
          <w:szCs w:val="24"/>
          <w:w w:val="100"/>
          <w:spacing w:val="0"/>
          <w:color w:val="000000"/>
          <w:position w:val="0"/>
        </w:rPr>
        <w:t>Муниципальному казенному учреждению Администрация рабочего посёлка Новобурейский Бурейского района Амурской области</w:t>
      </w:r>
    </w:p>
    <w:p>
      <w:pPr>
        <w:pStyle w:val="Style16"/>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Советская, 68 рп. Новобурейский Бурейский район Амурская область 676720</w:t>
      </w:r>
    </w:p>
    <w:p>
      <w:pPr>
        <w:pStyle w:val="Style16"/>
        <w:widowControl w:val="0"/>
        <w:keepNext w:val="0"/>
        <w:keepLines w:val="0"/>
        <w:shd w:val="clear" w:color="auto" w:fill="auto"/>
        <w:bidi w:val="0"/>
        <w:jc w:val="left"/>
        <w:spacing w:before="0" w:after="256" w:line="240" w:lineRule="exact"/>
        <w:ind w:left="20" w:right="0" w:firstLine="0"/>
      </w:pPr>
      <w:r>
        <w:rPr>
          <w:lang w:val="en-US" w:eastAsia="en-US" w:bidi="en-US"/>
          <w:sz w:val="24"/>
          <w:szCs w:val="24"/>
          <w:w w:val="100"/>
          <w:spacing w:val="0"/>
          <w:color w:val="000000"/>
          <w:position w:val="0"/>
        </w:rPr>
        <w:t xml:space="preserve">e-mail: </w:t>
      </w:r>
      <w:r>
        <w:fldChar w:fldCharType="begin"/>
      </w:r>
      <w:r>
        <w:rPr>
          <w:color w:val="000000"/>
        </w:rPr>
        <w:instrText> HYPERLINK "mailto:five_nb@mail.ru" </w:instrText>
      </w:r>
      <w:r>
        <w:fldChar w:fldCharType="separate"/>
      </w:r>
      <w:r>
        <w:rPr>
          <w:rStyle w:val="Hyperlink"/>
          <w:lang w:val="en-US" w:eastAsia="en-US" w:bidi="en-US"/>
          <w:sz w:val="24"/>
          <w:szCs w:val="24"/>
          <w:w w:val="100"/>
          <w:spacing w:val="0"/>
          <w:position w:val="0"/>
        </w:rPr>
        <w:t>five_nb@mail.ru</w:t>
      </w:r>
      <w:r>
        <w:fldChar w:fldCharType="end"/>
      </w:r>
    </w:p>
    <w:p>
      <w:pPr>
        <w:pStyle w:val="Style14"/>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Заявителям:</w:t>
      </w:r>
    </w:p>
    <w:p>
      <w:pPr>
        <w:pStyle w:val="Style16"/>
        <w:widowControl w:val="0"/>
        <w:keepNext w:val="0"/>
        <w:keepLines w:val="0"/>
        <w:shd w:val="clear" w:color="auto" w:fill="auto"/>
        <w:bidi w:val="0"/>
        <w:jc w:val="left"/>
        <w:spacing w:before="0" w:after="286" w:line="298" w:lineRule="exact"/>
        <w:ind w:left="20" w:right="0" w:firstLine="0"/>
      </w:pPr>
      <w:r>
        <w:rPr>
          <w:lang w:val="ru-RU" w:eastAsia="ru-RU" w:bidi="ru-RU"/>
          <w:sz w:val="24"/>
          <w:szCs w:val="24"/>
          <w:w w:val="100"/>
          <w:spacing w:val="0"/>
          <w:color w:val="000000"/>
          <w:position w:val="0"/>
        </w:rPr>
        <w:t>Обществу с ограниченной ответственностью «Алтайвектор»</w:t>
      </w:r>
    </w:p>
    <w:p>
      <w:pPr>
        <w:pStyle w:val="Style16"/>
        <w:widowControl w:val="0"/>
        <w:keepNext w:val="0"/>
        <w:keepLines w:val="0"/>
        <w:shd w:val="clear" w:color="auto" w:fill="auto"/>
        <w:bidi w:val="0"/>
        <w:jc w:val="left"/>
        <w:spacing w:before="0" w:after="256" w:line="240" w:lineRule="exact"/>
        <w:ind w:left="20" w:right="0" w:firstLine="0"/>
      </w:pPr>
      <w:r>
        <w:rPr>
          <w:lang w:val="en-US" w:eastAsia="en-US" w:bidi="en-US"/>
          <w:sz w:val="24"/>
          <w:szCs w:val="24"/>
          <w:w w:val="100"/>
          <w:spacing w:val="0"/>
          <w:color w:val="000000"/>
          <w:position w:val="0"/>
        </w:rPr>
        <w:t xml:space="preserve">e-mail: </w:t>
      </w:r>
      <w:r>
        <w:fldChar w:fldCharType="begin"/>
      </w:r>
      <w:r>
        <w:rPr>
          <w:color w:val="000000"/>
        </w:rPr>
        <w:instrText> HYPERLINK "mailto:altayvektor@bk.ru" </w:instrText>
      </w:r>
      <w:r>
        <w:fldChar w:fldCharType="separate"/>
      </w:r>
      <w:r>
        <w:rPr>
          <w:rStyle w:val="Hyperlink"/>
          <w:lang w:val="en-US" w:eastAsia="en-US" w:bidi="en-US"/>
          <w:sz w:val="24"/>
          <w:szCs w:val="24"/>
          <w:w w:val="100"/>
          <w:spacing w:val="0"/>
          <w:position w:val="0"/>
        </w:rPr>
        <w:t>altayvektor@bk.ru</w:t>
      </w:r>
      <w:r>
        <w:fldChar w:fldCharType="end"/>
      </w:r>
    </w:p>
    <w:p>
      <w:pPr>
        <w:pStyle w:val="Style16"/>
        <w:widowControl w:val="0"/>
        <w:keepNext w:val="0"/>
        <w:keepLines w:val="0"/>
        <w:shd w:val="clear" w:color="auto" w:fill="auto"/>
        <w:bidi w:val="0"/>
        <w:jc w:val="left"/>
        <w:spacing w:before="0" w:after="286" w:line="298" w:lineRule="exact"/>
        <w:ind w:left="20" w:right="0" w:firstLine="0"/>
      </w:pPr>
      <w:r>
        <w:rPr>
          <w:lang w:val="ru-RU" w:eastAsia="ru-RU" w:bidi="ru-RU"/>
          <w:sz w:val="24"/>
          <w:szCs w:val="24"/>
          <w:w w:val="100"/>
          <w:spacing w:val="0"/>
          <w:color w:val="000000"/>
          <w:position w:val="0"/>
        </w:rPr>
        <w:t>Индивидуальному предпринимателю Меньшикову Роману Анатольевичу</w:t>
      </w:r>
    </w:p>
    <w:p>
      <w:pPr>
        <w:pStyle w:val="Style16"/>
        <w:widowControl w:val="0"/>
        <w:keepNext w:val="0"/>
        <w:keepLines w:val="0"/>
        <w:shd w:val="clear" w:color="auto" w:fill="auto"/>
        <w:bidi w:val="0"/>
        <w:jc w:val="left"/>
        <w:spacing w:before="0" w:after="0" w:line="240" w:lineRule="exact"/>
        <w:ind w:left="20" w:right="0" w:firstLine="0"/>
        <w:sectPr>
          <w:footnotePr>
            <w:pos w:val="pageBottom"/>
            <w:numFmt w:val="decimal"/>
            <w:numRestart w:val="continuous"/>
          </w:footnotePr>
          <w:type w:val="continuous"/>
          <w:pgSz w:w="11906" w:h="16838"/>
          <w:pgMar w:top="216" w:left="798" w:right="1220" w:bottom="245" w:header="0" w:footer="3" w:gutter="0"/>
          <w:rtlGutter w:val="0"/>
          <w:cols w:num="2" w:space="1238"/>
          <w:noEndnote/>
          <w:docGrid w:linePitch="360"/>
        </w:sectPr>
      </w:pPr>
      <w:r>
        <w:rPr>
          <w:lang w:val="en-US" w:eastAsia="en-US" w:bidi="en-US"/>
          <w:sz w:val="24"/>
          <w:szCs w:val="24"/>
          <w:w w:val="100"/>
          <w:spacing w:val="0"/>
          <w:color w:val="000000"/>
          <w:position w:val="0"/>
        </w:rPr>
        <w:t xml:space="preserve">e-mail: </w:t>
      </w:r>
      <w:r>
        <w:fldChar w:fldCharType="begin"/>
      </w:r>
      <w:r>
        <w:rPr>
          <w:color w:val="000000"/>
        </w:rPr>
        <w:instrText> HYPERLINK "mailto:ip.menshikov66@yandex.ru" </w:instrText>
      </w:r>
      <w:r>
        <w:fldChar w:fldCharType="separate"/>
      </w:r>
      <w:r>
        <w:rPr>
          <w:rStyle w:val="Hyperlink"/>
          <w:lang w:val="en-US" w:eastAsia="en-US" w:bidi="en-US"/>
          <w:sz w:val="24"/>
          <w:szCs w:val="24"/>
          <w:w w:val="100"/>
          <w:spacing w:val="0"/>
          <w:position w:val="0"/>
        </w:rPr>
        <w:t>ip.menshikov66@yandex.ru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116" w:after="11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4"/>
        <w:widowControl w:val="0"/>
        <w:keepNext w:val="0"/>
        <w:keepLines w:val="0"/>
        <w:shd w:val="clear" w:color="auto" w:fill="auto"/>
        <w:bidi w:val="0"/>
        <w:jc w:val="left"/>
        <w:spacing w:before="0" w:after="2" w:line="240" w:lineRule="exact"/>
        <w:ind w:left="4160" w:right="0" w:firstLine="0"/>
      </w:pPr>
      <w:r>
        <w:rPr>
          <w:lang w:val="ru-RU" w:eastAsia="ru-RU" w:bidi="ru-RU"/>
          <w:sz w:val="24"/>
          <w:szCs w:val="24"/>
          <w:w w:val="100"/>
          <w:spacing w:val="0"/>
          <w:color w:val="000000"/>
          <w:position w:val="0"/>
        </w:rPr>
        <w:t>РЕШЕНИЕ</w:t>
      </w:r>
    </w:p>
    <w:p>
      <w:pPr>
        <w:pStyle w:val="Style14"/>
        <w:widowControl w:val="0"/>
        <w:keepNext w:val="0"/>
        <w:keepLines w:val="0"/>
        <w:shd w:val="clear" w:color="auto" w:fill="auto"/>
        <w:bidi w:val="0"/>
        <w:jc w:val="left"/>
        <w:spacing w:before="0" w:after="561" w:line="240" w:lineRule="exact"/>
        <w:ind w:left="1820" w:right="0" w:firstLine="0"/>
      </w:pPr>
      <w:r>
        <w:rPr>
          <w:lang w:val="ru-RU" w:eastAsia="ru-RU" w:bidi="ru-RU"/>
          <w:sz w:val="24"/>
          <w:szCs w:val="24"/>
          <w:w w:val="100"/>
          <w:spacing w:val="0"/>
          <w:color w:val="000000"/>
          <w:position w:val="0"/>
        </w:rPr>
        <w:t>по делам № 028/06/105-662/2021, 028/06/105-656/2021</w:t>
      </w:r>
    </w:p>
    <w:p>
      <w:pPr>
        <w:pStyle w:val="Style16"/>
        <w:numPr>
          <w:ilvl w:val="0"/>
          <w:numId w:val="1"/>
        </w:numPr>
        <w:tabs>
          <w:tab w:leader="none" w:pos="7760" w:val="left"/>
          <w:tab w:leader="none" w:pos="7762" w:val="left"/>
        </w:tabs>
        <w:widowControl w:val="0"/>
        <w:keepNext w:val="0"/>
        <w:keepLines w:val="0"/>
        <w:shd w:val="clear" w:color="auto" w:fill="auto"/>
        <w:bidi w:val="0"/>
        <w:jc w:val="both"/>
        <w:spacing w:before="0" w:after="0" w:line="298" w:lineRule="exact"/>
        <w:ind w:left="20" w:right="0" w:firstLine="0"/>
      </w:pPr>
      <w:r>
        <w:rPr>
          <w:lang w:val="ru-RU" w:eastAsia="ru-RU" w:bidi="ru-RU"/>
          <w:sz w:val="24"/>
          <w:szCs w:val="24"/>
          <w:w w:val="100"/>
          <w:spacing w:val="0"/>
          <w:color w:val="000000"/>
          <w:position w:val="0"/>
        </w:rPr>
        <w:t>г. Благовещенск</w:t>
      </w:r>
    </w:p>
    <w:p>
      <w:pPr>
        <w:pStyle w:val="Style16"/>
        <w:widowControl w:val="0"/>
        <w:keepNext w:val="0"/>
        <w:keepLines w:val="0"/>
        <w:shd w:val="clear" w:color="auto" w:fill="auto"/>
        <w:bidi w:val="0"/>
        <w:jc w:val="both"/>
        <w:spacing w:before="0" w:after="240" w:line="298" w:lineRule="exact"/>
        <w:ind w:left="20" w:right="0" w:firstLine="0"/>
      </w:pPr>
      <w:r>
        <w:rPr>
          <w:lang w:val="ru-RU" w:eastAsia="ru-RU" w:bidi="ru-RU"/>
          <w:sz w:val="24"/>
          <w:szCs w:val="24"/>
          <w:w w:val="100"/>
          <w:spacing w:val="0"/>
          <w:color w:val="000000"/>
          <w:position w:val="0"/>
        </w:rPr>
        <w:t>(в полном объеме изготовлено 08.11.2021)</w:t>
      </w:r>
    </w:p>
    <w:p>
      <w:pPr>
        <w:pStyle w:val="Style16"/>
        <w:widowControl w:val="0"/>
        <w:keepNext w:val="0"/>
        <w:keepLines w:val="0"/>
        <w:shd w:val="clear" w:color="auto" w:fill="auto"/>
        <w:bidi w:val="0"/>
        <w:jc w:val="left"/>
        <w:spacing w:before="0" w:after="0" w:line="298" w:lineRule="exact"/>
        <w:ind w:left="20" w:right="400" w:firstLine="720"/>
      </w:pPr>
      <w:r>
        <w:rPr>
          <w:lang w:val="ru-RU" w:eastAsia="ru-RU" w:bidi="ru-RU"/>
          <w:sz w:val="24"/>
          <w:szCs w:val="24"/>
          <w:w w:val="100"/>
          <w:spacing w:val="0"/>
          <w:color w:val="000000"/>
          <w:position w:val="0"/>
        </w:rPr>
        <w:t>Комиссия управления Федеральной антимонопольной службы по Амурской области (далее - Амурское У ФАС России) по контролю в сфере закупок в составе: Горячевой Н.В. - заместителя руководителя управления, председателя Комиссии; Парнищевой М.М. - начальника отдела контроля закупок; Стрелковой Е.В. - главного специалиста-эксперта отдела контроля закупок, Лесковой Ю.П. - ведущего специалиста-эксперта отдела контроля закупок,</w:t>
      </w:r>
    </w:p>
    <w:p>
      <w:pPr>
        <w:pStyle w:val="Style16"/>
        <w:widowControl w:val="0"/>
        <w:keepNext w:val="0"/>
        <w:keepLines w:val="0"/>
        <w:shd w:val="clear" w:color="auto" w:fill="auto"/>
        <w:bidi w:val="0"/>
        <w:jc w:val="both"/>
        <w:spacing w:before="0" w:after="0" w:line="293" w:lineRule="exact"/>
        <w:ind w:left="20" w:right="400" w:firstLine="720"/>
      </w:pPr>
      <w:r>
        <w:rPr>
          <w:lang w:val="ru-RU" w:eastAsia="ru-RU" w:bidi="ru-RU"/>
          <w:sz w:val="24"/>
          <w:szCs w:val="24"/>
          <w:w w:val="100"/>
          <w:spacing w:val="0"/>
          <w:color w:val="000000"/>
          <w:position w:val="0"/>
        </w:rPr>
        <w:t>в отсутствие пр е дставите л ей: заявителей жалоб общества с ограниченной ответственностью «Алтайвектор» (далее - ООО «Алтайвектор»), индивидуального предпринимателя Меньшикова Романа Анатольевича (далее - ИП Меньшиков Р.А.); муниципального заказчика - Администрации рабочего посёлка Новобурейский Бурейского района Амурской области (далее - Администрации рп. Новобурейский, Заказчик) (лица о дате и времени рассмотрения настоящего дела уведомлены надлежащим образом),</w:t>
      </w:r>
    </w:p>
    <w:p>
      <w:pPr>
        <w:pStyle w:val="Style16"/>
        <w:widowControl w:val="0"/>
        <w:keepNext w:val="0"/>
        <w:keepLines w:val="0"/>
        <w:shd w:val="clear" w:color="auto" w:fill="auto"/>
        <w:bidi w:val="0"/>
        <w:jc w:val="left"/>
        <w:spacing w:before="0" w:after="566" w:line="293" w:lineRule="exact"/>
        <w:ind w:left="20" w:right="400" w:firstLine="720"/>
      </w:pPr>
      <w:r>
        <w:rPr>
          <w:lang w:val="ru-RU" w:eastAsia="ru-RU" w:bidi="ru-RU"/>
          <w:sz w:val="24"/>
          <w:szCs w:val="24"/>
          <w:w w:val="100"/>
          <w:spacing w:val="0"/>
          <w:color w:val="000000"/>
          <w:position w:val="0"/>
        </w:rPr>
        <w:t>рассмотрела поступившие 20.10.2021, 22.10.2021 в Амурское У ФАС России жалобы ООО «Алтайвектор», ИП Меньшиков Р.А. на действия муниципального</w:t>
      </w:r>
    </w:p>
    <w:p>
      <w:pPr>
        <w:pStyle w:val="Style18"/>
        <w:widowControl w:val="0"/>
        <w:keepNext w:val="0"/>
        <w:keepLines w:val="0"/>
        <w:shd w:val="clear" w:color="auto" w:fill="auto"/>
        <w:bidi w:val="0"/>
        <w:spacing w:before="0" w:after="0" w:line="260" w:lineRule="exact"/>
        <w:ind w:left="0" w:right="220" w:firstLine="0"/>
      </w:pPr>
      <w:r>
        <w:rPr>
          <w:lang w:val="ru-RU" w:eastAsia="ru-RU" w:bidi="ru-RU"/>
          <w:w w:val="100"/>
          <w:spacing w:val="0"/>
          <w:color w:val="000000"/>
          <w:position w:val="0"/>
        </w:rPr>
        <w:t>088452</w:t>
      </w:r>
      <w:r>
        <w:rPr>
          <w:rStyle w:val="CharStyle20"/>
          <w:b/>
          <w:bCs/>
        </w:rPr>
        <w:t xml:space="preserve"> *</w:t>
      </w:r>
    </w:p>
    <w:p>
      <w:pPr>
        <w:pStyle w:val="Style16"/>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 xml:space="preserve">заказчика - администрации рп. Новобурейский при осуществлении закупки способом открытого конкурса в электронной форме на выполнение работ по реконструкции котловой ячейки КЕ-25-14С в муниципальной котельной по ул. Советская 57, объявленной извещением от 29.09.2021 № 0123300036921000040 на электронной площадке РТС-тендер </w:t>
      </w:r>
      <w:r>
        <w:fldChar w:fldCharType="begin"/>
      </w:r>
      <w:r>
        <w:rPr>
          <w:color w:val="000000"/>
        </w:rPr>
        <w:instrText> HYPERLINK "http://www.rts-tender.ru" </w:instrText>
      </w:r>
      <w:r>
        <w:fldChar w:fldCharType="separate"/>
      </w:r>
      <w:r>
        <w:rPr>
          <w:rStyle w:val="Hyperlink"/>
          <w:lang w:val="en-US" w:eastAsia="en-US" w:bidi="en-US"/>
          <w:sz w:val="24"/>
          <w:szCs w:val="24"/>
          <w:w w:val="100"/>
          <w:spacing w:val="0"/>
          <w:position w:val="0"/>
        </w:rPr>
        <w:t>http://www.rts-tender.ru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выразившиеся, по мнению заявителя, в нарушении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 а именно: конкурсная документация не соответствует требованиям законодательства.</w:t>
      </w:r>
    </w:p>
    <w:p>
      <w:pPr>
        <w:pStyle w:val="Style16"/>
        <w:widowControl w:val="0"/>
        <w:keepNext w:val="0"/>
        <w:keepLines w:val="0"/>
        <w:shd w:val="clear" w:color="auto" w:fill="auto"/>
        <w:bidi w:val="0"/>
        <w:jc w:val="both"/>
        <w:spacing w:before="0" w:after="286" w:line="298" w:lineRule="exact"/>
        <w:ind w:left="20" w:right="20" w:firstLine="700"/>
      </w:pPr>
      <w:r>
        <w:rPr>
          <w:lang w:val="ru-RU" w:eastAsia="ru-RU" w:bidi="ru-RU"/>
          <w:sz w:val="24"/>
          <w:szCs w:val="24"/>
          <w:w w:val="100"/>
          <w:spacing w:val="0"/>
          <w:color w:val="000000"/>
          <w:position w:val="0"/>
        </w:rPr>
        <w:t>Комиссия Амурского У ФАС России, рассмотрев жалобы, исследовав материалы дела, проведя в соответствии с частями 3, 15 статьи 99 Закона о контрактной системе внеплановую проверку,</w:t>
      </w:r>
    </w:p>
    <w:p>
      <w:pPr>
        <w:pStyle w:val="Style16"/>
        <w:widowControl w:val="0"/>
        <w:keepNext w:val="0"/>
        <w:keepLines w:val="0"/>
        <w:shd w:val="clear" w:color="auto" w:fill="auto"/>
        <w:bidi w:val="0"/>
        <w:jc w:val="center"/>
        <w:spacing w:before="0" w:after="271" w:line="240" w:lineRule="exact"/>
        <w:ind w:left="0" w:right="0" w:firstLine="0"/>
      </w:pPr>
      <w:r>
        <w:rPr>
          <w:lang w:val="ru-RU" w:eastAsia="ru-RU" w:bidi="ru-RU"/>
          <w:sz w:val="24"/>
          <w:szCs w:val="24"/>
          <w:w w:val="100"/>
          <w:spacing w:val="0"/>
          <w:color w:val="000000"/>
          <w:position w:val="0"/>
        </w:rPr>
        <w:t>УСТАНОВИЛА:</w:t>
      </w:r>
    </w:p>
    <w:p>
      <w:pPr>
        <w:pStyle w:val="Style16"/>
        <w:numPr>
          <w:ilvl w:val="0"/>
          <w:numId w:val="3"/>
        </w:numPr>
        <w:tabs>
          <w:tab w:leader="none" w:pos="6750" w:val="left"/>
          <w:tab w:leader="none" w:pos="2008" w:val="left"/>
        </w:tabs>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муниципальным заказчик - администрацией рп. Новобурейский 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 xml:space="preserve">и на электронной площадке ООО РТС-тендер </w:t>
      </w:r>
      <w:r>
        <w:rPr>
          <w:lang w:val="en-US" w:eastAsia="en-US" w:bidi="en-US"/>
          <w:sz w:val="24"/>
          <w:szCs w:val="24"/>
          <w:w w:val="100"/>
          <w:spacing w:val="0"/>
          <w:color w:val="000000"/>
          <w:position w:val="0"/>
        </w:rPr>
        <w:t>http ://</w:t>
      </w:r>
      <w:r>
        <w:fldChar w:fldCharType="begin"/>
      </w:r>
      <w:r>
        <w:rPr>
          <w:color w:val="000000"/>
        </w:rPr>
        <w:instrText> HYPERLINK "http://www.rts-tender.ru" </w:instrText>
      </w:r>
      <w:r>
        <w:fldChar w:fldCharType="separate"/>
      </w:r>
      <w:r>
        <w:rPr>
          <w:rStyle w:val="Hyperlink"/>
          <w:lang w:val="en-US" w:eastAsia="en-US" w:bidi="en-US"/>
          <w:sz w:val="24"/>
          <w:szCs w:val="24"/>
          <w:w w:val="100"/>
          <w:spacing w:val="0"/>
          <w:position w:val="0"/>
        </w:rPr>
        <w:t>www.rts-tender.ru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опубликовано извещение №</w:t>
        <w:tab/>
        <w:t>0123300036921000040 о</w:t>
      </w:r>
    </w:p>
    <w:p>
      <w:pPr>
        <w:pStyle w:val="Style16"/>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проведении закупки способом открытого конкурса в электронной форме на выполнение работ по реконструкции котловой ячейки КЕ-25-14С в муниципальной котельной по ул. Советская 57.</w:t>
      </w:r>
    </w:p>
    <w:p>
      <w:pPr>
        <w:pStyle w:val="Style16"/>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Начальная (максимальная) цена контракта установлена в размере 36 859 815,60 рублей.</w:t>
      </w:r>
    </w:p>
    <w:p>
      <w:pPr>
        <w:pStyle w:val="Style16"/>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Дата и время начала подачи заявок - 29.09.2021 15:46. Дата и время окончания подачи заявок - 22.10.2021 09:00. Дата и время рассмотрения и оценки первых частей заявок - 25.10.2021 в 09:00. Дата подачи окончательных предложений - 27.10.2021. Дата и время рассмотрения и оценки вторых частей заявок - 29.10.2021 в 09:00.</w:t>
      </w:r>
    </w:p>
    <w:p>
      <w:pPr>
        <w:pStyle w:val="Style16"/>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Согласно протоколу рассмотрения и оценки первых частей заявок на участие в открытом конкурсе в электронной форме от 30.10.2021 № ПР011 на момент окончания срока подачи заявок на участие в открытом конкурсе в электронной форме было подано 4 заявки, признанные соответствующими требованиям документации открытого конкурса в электронной форме и допущенные к участию в закупке.</w:t>
      </w:r>
    </w:p>
    <w:p>
      <w:pPr>
        <w:pStyle w:val="Style16"/>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Как следует из протокола подведения итогов открытого конкурса в электронной форме от 30.10.2021 № ППИ1 на основании результатов рассмотрения и оценки заявок на участие в открытом конкурсе в электронной форме и руководствуясь ст. 54.7 Закона №44-ФЗ конкурсной комиссией принято решение о присвоении первого и второго порядковых номеров следующим заявкам: 1 (110733539) ООО Котельный завод «ПРОМКОТЛОСНАБ»; 2 (110733801) ООО «ЭНЕРГОСТРОЙМОНТАЖ».</w:t>
      </w:r>
    </w:p>
    <w:p>
      <w:pPr>
        <w:pStyle w:val="Style16"/>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Комиссия Амурского У ФАС России, исследовав материалы дела, приходит к следующим выводам.</w:t>
      </w:r>
    </w:p>
    <w:p>
      <w:pPr>
        <w:pStyle w:val="Style16"/>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регулируются Законом о контрактной системе.</w:t>
      </w:r>
    </w:p>
    <w:p>
      <w:pPr>
        <w:pStyle w:val="Style16"/>
        <w:widowControl w:val="0"/>
        <w:keepNext w:val="0"/>
        <w:keepLines w:val="0"/>
        <w:shd w:val="clear" w:color="auto" w:fill="auto"/>
        <w:bidi w:val="0"/>
        <w:jc w:val="both"/>
        <w:spacing w:before="0" w:after="0" w:line="298" w:lineRule="exact"/>
        <w:ind w:left="60" w:right="40" w:firstLine="720"/>
      </w:pPr>
      <w:r>
        <w:rPr>
          <w:lang w:val="ru-RU" w:eastAsia="ru-RU" w:bidi="ru-RU"/>
          <w:sz w:val="24"/>
          <w:szCs w:val="24"/>
          <w:w w:val="100"/>
          <w:spacing w:val="0"/>
          <w:color w:val="000000"/>
          <w:position w:val="0"/>
        </w:rPr>
        <w:t>Согласно части 3 статьи 24 Закона о контрактной системе одним из конкурентных способов определения поставщиков (подрядчиков, исполнителей) является конкурс, при котором победителем признается участник закупки, предложивший лучшие условия исполнения контракта.</w:t>
      </w:r>
    </w:p>
    <w:p>
      <w:pPr>
        <w:pStyle w:val="Style16"/>
        <w:widowControl w:val="0"/>
        <w:keepNext w:val="0"/>
        <w:keepLines w:val="0"/>
        <w:shd w:val="clear" w:color="auto" w:fill="auto"/>
        <w:bidi w:val="0"/>
        <w:jc w:val="both"/>
        <w:spacing w:before="0" w:after="0" w:line="298" w:lineRule="exact"/>
        <w:ind w:left="60" w:right="40" w:firstLine="720"/>
      </w:pPr>
      <w:r>
        <w:rPr>
          <w:lang w:val="ru-RU" w:eastAsia="ru-RU" w:bidi="ru-RU"/>
          <w:sz w:val="24"/>
          <w:szCs w:val="24"/>
          <w:w w:val="100"/>
          <w:spacing w:val="0"/>
          <w:color w:val="000000"/>
          <w:position w:val="0"/>
        </w:rPr>
        <w:t>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 (часть 1 статьи 54.1 Закона о контрактной системе).</w:t>
      </w:r>
    </w:p>
    <w:p>
      <w:pPr>
        <w:pStyle w:val="Style16"/>
        <w:widowControl w:val="0"/>
        <w:keepNext w:val="0"/>
        <w:keepLines w:val="0"/>
        <w:shd w:val="clear" w:color="auto" w:fill="auto"/>
        <w:bidi w:val="0"/>
        <w:jc w:val="both"/>
        <w:spacing w:before="0" w:after="0" w:line="298" w:lineRule="exact"/>
        <w:ind w:left="60" w:right="40" w:firstLine="720"/>
      </w:pPr>
      <w:r>
        <w:rPr>
          <w:lang w:val="ru-RU" w:eastAsia="ru-RU" w:bidi="ru-RU"/>
          <w:sz w:val="24"/>
          <w:szCs w:val="24"/>
          <w:w w:val="100"/>
          <w:spacing w:val="0"/>
          <w:color w:val="000000"/>
          <w:position w:val="0"/>
        </w:rPr>
        <w:t>Согласно пункту 8 части 1 статьи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pPr>
        <w:pStyle w:val="Style16"/>
        <w:widowControl w:val="0"/>
        <w:keepNext w:val="0"/>
        <w:keepLines w:val="0"/>
        <w:shd w:val="clear" w:color="auto" w:fill="auto"/>
        <w:bidi w:val="0"/>
        <w:jc w:val="both"/>
        <w:spacing w:before="0" w:after="0" w:line="298" w:lineRule="exact"/>
        <w:ind w:left="60" w:right="40" w:firstLine="720"/>
      </w:pPr>
      <w:r>
        <w:rPr>
          <w:lang w:val="ru-RU" w:eastAsia="ru-RU" w:bidi="ru-RU"/>
          <w:sz w:val="24"/>
          <w:szCs w:val="24"/>
          <w:w w:val="100"/>
          <w:spacing w:val="0"/>
          <w:color w:val="000000"/>
          <w:position w:val="0"/>
        </w:rPr>
        <w:t>В соответствии с частью 1 статьи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w:t>
      </w:r>
    </w:p>
    <w:p>
      <w:pPr>
        <w:pStyle w:val="Style16"/>
        <w:numPr>
          <w:ilvl w:val="0"/>
          <w:numId w:val="5"/>
        </w:numPr>
        <w:widowControl w:val="0"/>
        <w:keepNext w:val="0"/>
        <w:keepLines w:val="0"/>
        <w:shd w:val="clear" w:color="auto" w:fill="auto"/>
        <w:bidi w:val="0"/>
        <w:jc w:val="both"/>
        <w:spacing w:before="0" w:after="0" w:line="298" w:lineRule="exact"/>
        <w:ind w:left="60" w:right="0" w:firstLine="720"/>
      </w:pPr>
      <w:r>
        <w:rPr>
          <w:lang w:val="ru-RU" w:eastAsia="ru-RU" w:bidi="ru-RU"/>
          <w:sz w:val="24"/>
          <w:szCs w:val="24"/>
          <w:w w:val="100"/>
          <w:spacing w:val="0"/>
          <w:color w:val="000000"/>
          <w:position w:val="0"/>
        </w:rPr>
        <w:t xml:space="preserve"> цена контракта;</w:t>
      </w:r>
    </w:p>
    <w:p>
      <w:pPr>
        <w:pStyle w:val="Style16"/>
        <w:numPr>
          <w:ilvl w:val="0"/>
          <w:numId w:val="5"/>
        </w:numPr>
        <w:widowControl w:val="0"/>
        <w:keepNext w:val="0"/>
        <w:keepLines w:val="0"/>
        <w:shd w:val="clear" w:color="auto" w:fill="auto"/>
        <w:bidi w:val="0"/>
        <w:jc w:val="both"/>
        <w:spacing w:before="0" w:after="0" w:line="298" w:lineRule="exact"/>
        <w:ind w:left="60" w:right="0" w:firstLine="720"/>
      </w:pPr>
      <w:r>
        <w:rPr>
          <w:lang w:val="ru-RU" w:eastAsia="ru-RU" w:bidi="ru-RU"/>
          <w:sz w:val="24"/>
          <w:szCs w:val="24"/>
          <w:w w:val="100"/>
          <w:spacing w:val="0"/>
          <w:color w:val="000000"/>
          <w:position w:val="0"/>
        </w:rPr>
        <w:t xml:space="preserve"> расходы на эксплуатацию и ремонт товаров, использование результатов</w:t>
      </w:r>
    </w:p>
    <w:p>
      <w:pPr>
        <w:pStyle w:val="Style16"/>
        <w:widowControl w:val="0"/>
        <w:keepNext w:val="0"/>
        <w:keepLines w:val="0"/>
        <w:shd w:val="clear" w:color="auto" w:fill="auto"/>
        <w:bidi w:val="0"/>
        <w:jc w:val="left"/>
        <w:spacing w:before="0" w:after="0" w:line="298" w:lineRule="exact"/>
        <w:ind w:left="60" w:right="0" w:firstLine="0"/>
      </w:pPr>
      <w:r>
        <w:rPr>
          <w:lang w:val="ru-RU" w:eastAsia="ru-RU" w:bidi="ru-RU"/>
          <w:sz w:val="24"/>
          <w:szCs w:val="24"/>
          <w:w w:val="100"/>
          <w:spacing w:val="0"/>
          <w:color w:val="000000"/>
          <w:position w:val="0"/>
        </w:rPr>
        <w:t>работ;</w:t>
      </w:r>
    </w:p>
    <w:p>
      <w:pPr>
        <w:pStyle w:val="Style16"/>
        <w:numPr>
          <w:ilvl w:val="0"/>
          <w:numId w:val="5"/>
        </w:numPr>
        <w:widowControl w:val="0"/>
        <w:keepNext w:val="0"/>
        <w:keepLines w:val="0"/>
        <w:shd w:val="clear" w:color="auto" w:fill="auto"/>
        <w:bidi w:val="0"/>
        <w:jc w:val="both"/>
        <w:spacing w:before="0" w:after="0" w:line="298" w:lineRule="exact"/>
        <w:ind w:left="60" w:right="40" w:firstLine="720"/>
      </w:pPr>
      <w:r>
        <w:rPr>
          <w:lang w:val="ru-RU" w:eastAsia="ru-RU" w:bidi="ru-RU"/>
          <w:sz w:val="24"/>
          <w:szCs w:val="24"/>
          <w:w w:val="100"/>
          <w:spacing w:val="0"/>
          <w:color w:val="000000"/>
          <w:position w:val="0"/>
        </w:rPr>
        <w:t xml:space="preserve"> качественные, функциональные и экологические характеристики объекта закупки;</w:t>
      </w:r>
    </w:p>
    <w:p>
      <w:pPr>
        <w:pStyle w:val="Style16"/>
        <w:numPr>
          <w:ilvl w:val="0"/>
          <w:numId w:val="5"/>
        </w:numPr>
        <w:widowControl w:val="0"/>
        <w:keepNext w:val="0"/>
        <w:keepLines w:val="0"/>
        <w:shd w:val="clear" w:color="auto" w:fill="auto"/>
        <w:bidi w:val="0"/>
        <w:jc w:val="both"/>
        <w:spacing w:before="0" w:after="0" w:line="298" w:lineRule="exact"/>
        <w:ind w:left="60" w:right="40" w:firstLine="720"/>
      </w:pPr>
      <w:r>
        <w:rPr>
          <w:lang w:val="ru-RU" w:eastAsia="ru-RU" w:bidi="ru-RU"/>
          <w:sz w:val="24"/>
          <w:szCs w:val="24"/>
          <w:w w:val="100"/>
          <w:spacing w:val="0"/>
          <w:color w:val="000000"/>
          <w:position w:val="0"/>
        </w:rPr>
        <w:t xml:space="preserve">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6"/>
        <w:widowControl w:val="0"/>
        <w:keepNext w:val="0"/>
        <w:keepLines w:val="0"/>
        <w:shd w:val="clear" w:color="auto" w:fill="auto"/>
        <w:bidi w:val="0"/>
        <w:jc w:val="both"/>
        <w:spacing w:before="0" w:after="0" w:line="298" w:lineRule="exact"/>
        <w:ind w:left="60" w:right="40" w:firstLine="720"/>
      </w:pPr>
      <w:r>
        <w:rPr>
          <w:lang w:val="ru-RU" w:eastAsia="ru-RU" w:bidi="ru-RU"/>
          <w:sz w:val="24"/>
          <w:szCs w:val="24"/>
          <w:w w:val="100"/>
          <w:spacing w:val="0"/>
          <w:color w:val="000000"/>
          <w:position w:val="0"/>
        </w:rPr>
        <w:t>В соответствии с частью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РФ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pPr>
        <w:pStyle w:val="Style16"/>
        <w:widowControl w:val="0"/>
        <w:keepNext w:val="0"/>
        <w:keepLines w:val="0"/>
        <w:shd w:val="clear" w:color="auto" w:fill="auto"/>
        <w:bidi w:val="0"/>
        <w:jc w:val="both"/>
        <w:spacing w:before="0" w:after="0" w:line="298" w:lineRule="exact"/>
        <w:ind w:left="60" w:right="40" w:firstLine="720"/>
      </w:pPr>
      <w:r>
        <w:rPr>
          <w:lang w:val="ru-RU" w:eastAsia="ru-RU" w:bidi="ru-RU"/>
          <w:sz w:val="24"/>
          <w:szCs w:val="24"/>
          <w:w w:val="100"/>
          <w:spacing w:val="0"/>
          <w:color w:val="000000"/>
          <w:position w:val="0"/>
        </w:rPr>
        <w:t>При этом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pPr>
        <w:pStyle w:val="Style16"/>
        <w:widowControl w:val="0"/>
        <w:keepNext w:val="0"/>
        <w:keepLines w:val="0"/>
        <w:shd w:val="clear" w:color="auto" w:fill="auto"/>
        <w:bidi w:val="0"/>
        <w:jc w:val="both"/>
        <w:spacing w:before="0" w:after="0" w:line="298" w:lineRule="exact"/>
        <w:ind w:left="60" w:right="40" w:firstLine="720"/>
      </w:pPr>
      <w:r>
        <w:rPr>
          <w:lang w:val="ru-RU" w:eastAsia="ru-RU" w:bidi="ru-RU"/>
          <w:sz w:val="24"/>
          <w:szCs w:val="24"/>
          <w:w w:val="100"/>
          <w:spacing w:val="0"/>
          <w:color w:val="000000"/>
          <w:position w:val="0"/>
        </w:rPr>
        <w:t>В соответствии с пунктом 10 Правил оценки заявок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pPr>
        <w:pStyle w:val="Style16"/>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В силу пункта 11 Правил оценки заявок, в случае осуществления закупки, по результатам которой заключается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(в том числе линейного объекта), допускается установление в документации о закупке в качестве нестоимостных критериев оценки исключительно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показателей такого критерия, указанных в пункте 27 (2) настоящих Правил.</w:t>
      </w:r>
    </w:p>
    <w:p>
      <w:pPr>
        <w:pStyle w:val="Style16"/>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Согласно пункту 27 (2) Правил оценки заявок, в случае осуществления закупки, по результатам которой заключается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(в том числе линейного объекта), по нестоимостному критерию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документации о закупке устанавливается один или несколько следующих показателей:</w:t>
      </w:r>
    </w:p>
    <w:p>
      <w:pPr>
        <w:pStyle w:val="Style16"/>
        <w:widowControl w:val="0"/>
        <w:keepNext w:val="0"/>
        <w:keepLines w:val="0"/>
        <w:shd w:val="clear" w:color="auto" w:fill="auto"/>
        <w:bidi w:val="0"/>
        <w:jc w:val="both"/>
        <w:spacing w:before="0" w:after="0" w:line="298" w:lineRule="exact"/>
        <w:ind w:left="40" w:right="0" w:firstLine="720"/>
      </w:pPr>
      <w:r>
        <w:rPr>
          <w:lang w:val="ru-RU" w:eastAsia="ru-RU" w:bidi="ru-RU"/>
          <w:sz w:val="24"/>
          <w:szCs w:val="24"/>
          <w:w w:val="100"/>
          <w:spacing w:val="0"/>
          <w:color w:val="000000"/>
          <w:position w:val="0"/>
        </w:rPr>
        <w:t>а) общая стоимость исполненных контрактов (договоров);</w:t>
      </w:r>
    </w:p>
    <w:p>
      <w:pPr>
        <w:pStyle w:val="Style16"/>
        <w:widowControl w:val="0"/>
        <w:keepNext w:val="0"/>
        <w:keepLines w:val="0"/>
        <w:shd w:val="clear" w:color="auto" w:fill="auto"/>
        <w:bidi w:val="0"/>
        <w:jc w:val="both"/>
        <w:spacing w:before="0" w:after="0" w:line="298" w:lineRule="exact"/>
        <w:ind w:left="40" w:right="0" w:firstLine="720"/>
      </w:pPr>
      <w:r>
        <w:rPr>
          <w:lang w:val="ru-RU" w:eastAsia="ru-RU" w:bidi="ru-RU"/>
          <w:sz w:val="24"/>
          <w:szCs w:val="24"/>
          <w:w w:val="100"/>
          <w:spacing w:val="0"/>
          <w:color w:val="000000"/>
          <w:position w:val="0"/>
        </w:rPr>
        <w:t>б) общее количество исполненных контрактов (договоров);</w:t>
      </w:r>
    </w:p>
    <w:p>
      <w:pPr>
        <w:pStyle w:val="Style16"/>
        <w:widowControl w:val="0"/>
        <w:keepNext w:val="0"/>
        <w:keepLines w:val="0"/>
        <w:shd w:val="clear" w:color="auto" w:fill="auto"/>
        <w:bidi w:val="0"/>
        <w:jc w:val="both"/>
        <w:spacing w:before="0" w:after="0" w:line="298" w:lineRule="exact"/>
        <w:ind w:left="40" w:right="0" w:firstLine="720"/>
      </w:pPr>
      <w:r>
        <w:rPr>
          <w:lang w:val="ru-RU" w:eastAsia="ru-RU" w:bidi="ru-RU"/>
          <w:sz w:val="24"/>
          <w:szCs w:val="24"/>
          <w:w w:val="100"/>
          <w:spacing w:val="0"/>
          <w:color w:val="000000"/>
          <w:position w:val="0"/>
        </w:rPr>
        <w:t>в) наибольшая цена одного из исполненных контрактов (договоров).</w:t>
      </w:r>
    </w:p>
    <w:p>
      <w:pPr>
        <w:pStyle w:val="Style16"/>
        <w:widowControl w:val="0"/>
        <w:keepNext w:val="0"/>
        <w:keepLines w:val="0"/>
        <w:shd w:val="clear" w:color="auto" w:fill="auto"/>
        <w:bidi w:val="0"/>
        <w:jc w:val="both"/>
        <w:spacing w:before="0" w:after="0" w:line="298" w:lineRule="exact"/>
        <w:ind w:left="40" w:right="0" w:firstLine="720"/>
      </w:pPr>
      <w:r>
        <w:rPr>
          <w:lang w:val="ru-RU" w:eastAsia="ru-RU" w:bidi="ru-RU"/>
          <w:sz w:val="24"/>
          <w:szCs w:val="24"/>
          <w:w w:val="100"/>
          <w:spacing w:val="0"/>
          <w:color w:val="000000"/>
          <w:position w:val="0"/>
        </w:rPr>
        <w:t>Пунктом 1.3. проекта муниципального контракта, являющегося неотъемлемой</w:t>
      </w:r>
    </w:p>
    <w:p>
      <w:pPr>
        <w:pStyle w:val="Style16"/>
        <w:widowControl w:val="0"/>
        <w:keepNext w:val="0"/>
        <w:keepLines w:val="0"/>
        <w:shd w:val="clear" w:color="auto" w:fill="auto"/>
        <w:bidi w:val="0"/>
        <w:jc w:val="both"/>
        <w:spacing w:before="0" w:after="0" w:line="298" w:lineRule="exact"/>
        <w:ind w:left="40" w:right="20" w:firstLine="0"/>
      </w:pPr>
      <w:r>
        <w:rPr>
          <w:lang w:val="ru-RU" w:eastAsia="ru-RU" w:bidi="ru-RU"/>
          <w:sz w:val="24"/>
          <w:szCs w:val="24"/>
          <w:w w:val="100"/>
          <w:spacing w:val="0"/>
          <w:color w:val="000000"/>
          <w:position w:val="0"/>
        </w:rPr>
        <w:t>частью конкурсной документации определено, что результатом выполненной работы по настоящему Контракту является реконструированный объект капитального строительства, в отношении которого получено заключение органа государственного строительного надзора о соответствии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заключение федерального государственного экологического надзора в случаях, предусмотренных частью 7 статьи 54 Градостроительного кодекса Российской Федерации.</w:t>
      </w:r>
    </w:p>
    <w:p>
      <w:pPr>
        <w:pStyle w:val="Style16"/>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Однако, Заказчиком в конкурсной документации не установлены показатели, предусмотренные пункту 27 (2) Правил, что нарушает требования пункта 8 части 1 статьи 54.3 Закона о контрактной системе.</w:t>
      </w:r>
    </w:p>
    <w:p>
      <w:pPr>
        <w:pStyle w:val="Style16"/>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Согласно конкурсной документации по нестоимостным критерием Заказчиком установлен показатель: «Опыт участника по успешной поставке товара, выполнению работ, оказанию услуг сопоставимого характера и объема».</w:t>
      </w:r>
    </w:p>
    <w:p>
      <w:pPr>
        <w:pStyle w:val="Style16"/>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Оценивается предложение участника об объемах исполненных участником контрактов (договоров) за последние 3 года, предшествующие дате начала подачи заявок на участие в настоящем конкурсе, без нарушений сроков и иных нарушений условий контракта (договора) по вине участника (оценивается суммарный объем оказанных услуг сопоставимого характера и объема, исчисляемый в рублях).</w:t>
      </w:r>
    </w:p>
    <w:p>
      <w:pPr>
        <w:pStyle w:val="Style16"/>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Под услугами сопоставимого характера и объема понимается выполнение работ по реконструкции и/или модернизации теплоснабжения, стоимость которых по одному контракту (договору) составляет не менее 50 (пятидесяти) процентов от начальной (максимальной) цены контракта по настоящей закупке.</w:t>
      </w:r>
    </w:p>
    <w:p>
      <w:pPr>
        <w:pStyle w:val="Style16"/>
        <w:widowControl w:val="0"/>
        <w:keepNext w:val="0"/>
        <w:keepLines w:val="0"/>
        <w:shd w:val="clear" w:color="auto" w:fill="auto"/>
        <w:bidi w:val="0"/>
        <w:jc w:val="both"/>
        <w:spacing w:before="0" w:after="0" w:line="298" w:lineRule="exact"/>
        <w:ind w:left="40" w:right="60" w:firstLine="880"/>
      </w:pPr>
      <w:r>
        <w:rPr>
          <w:lang w:val="ru-RU" w:eastAsia="ru-RU" w:bidi="ru-RU"/>
          <w:sz w:val="24"/>
          <w:szCs w:val="24"/>
          <w:w w:val="100"/>
          <w:spacing w:val="0"/>
          <w:color w:val="000000"/>
          <w:position w:val="0"/>
        </w:rPr>
        <w:t>В соответствии с пунктом 27 (3) Правил оценки заявок, для оценки заявок (предложений) по показателям, предусмотренным пунктом 27 (2) настоящих Правил, в документации о закупке устанавливается и учитывается при оценке один или несколько следующих видов контрактов (договоров):</w:t>
      </w:r>
    </w:p>
    <w:p>
      <w:pPr>
        <w:pStyle w:val="Style16"/>
        <w:widowControl w:val="0"/>
        <w:keepNext w:val="0"/>
        <w:keepLines w:val="0"/>
        <w:shd w:val="clear" w:color="auto" w:fill="auto"/>
        <w:bidi w:val="0"/>
        <w:jc w:val="both"/>
        <w:spacing w:before="0" w:after="0" w:line="298" w:lineRule="exact"/>
        <w:ind w:left="40" w:right="60" w:firstLine="720"/>
      </w:pPr>
      <w:r>
        <w:rPr>
          <w:lang w:val="ru-RU" w:eastAsia="ru-RU" w:bidi="ru-RU"/>
          <w:sz w:val="24"/>
          <w:szCs w:val="24"/>
          <w:w w:val="100"/>
          <w:spacing w:val="0"/>
          <w:color w:val="000000"/>
          <w:position w:val="0"/>
        </w:rPr>
        <w:t>а) контракты (договоры), предусматривающие выполнение работ по строительству, реконструкции объектов капитального строительства, проведение работ по сохранению объектов культурного наследия, относящихся к виду объекта капитального строительства, выполнение работ по строительству, реконструкции, капитальному ремонту, сносу которого является объектом закупки. К таким видам объектов капитального строительства относятся:</w:t>
      </w:r>
    </w:p>
    <w:p>
      <w:pPr>
        <w:pStyle w:val="Style16"/>
        <w:numPr>
          <w:ilvl w:val="0"/>
          <w:numId w:val="7"/>
        </w:numPr>
        <w:widowControl w:val="0"/>
        <w:keepNext w:val="0"/>
        <w:keepLines w:val="0"/>
        <w:shd w:val="clear" w:color="auto" w:fill="auto"/>
        <w:bidi w:val="0"/>
        <w:jc w:val="both"/>
        <w:spacing w:before="0" w:after="0" w:line="298" w:lineRule="exact"/>
        <w:ind w:left="40" w:right="0" w:firstLine="720"/>
      </w:pPr>
      <w:r>
        <w:rPr>
          <w:lang w:val="ru-RU" w:eastAsia="ru-RU" w:bidi="ru-RU"/>
          <w:sz w:val="24"/>
          <w:szCs w:val="24"/>
          <w:w w:val="100"/>
          <w:spacing w:val="0"/>
          <w:color w:val="000000"/>
          <w:position w:val="0"/>
        </w:rPr>
        <w:t xml:space="preserve"> объекты капитального строительства (за исключением линейных объектов);</w:t>
      </w:r>
    </w:p>
    <w:p>
      <w:pPr>
        <w:pStyle w:val="Style16"/>
        <w:numPr>
          <w:ilvl w:val="0"/>
          <w:numId w:val="7"/>
        </w:numPr>
        <w:widowControl w:val="0"/>
        <w:keepNext w:val="0"/>
        <w:keepLines w:val="0"/>
        <w:shd w:val="clear" w:color="auto" w:fill="auto"/>
        <w:bidi w:val="0"/>
        <w:jc w:val="both"/>
        <w:spacing w:before="0" w:after="0" w:line="298" w:lineRule="exact"/>
        <w:ind w:left="40" w:right="0" w:firstLine="720"/>
      </w:pPr>
      <w:r>
        <w:rPr>
          <w:lang w:val="ru-RU" w:eastAsia="ru-RU" w:bidi="ru-RU"/>
          <w:sz w:val="24"/>
          <w:szCs w:val="24"/>
          <w:w w:val="100"/>
          <w:spacing w:val="0"/>
          <w:color w:val="000000"/>
          <w:position w:val="0"/>
        </w:rPr>
        <w:t xml:space="preserve"> линейные объекты капитального строительства;</w:t>
      </w:r>
    </w:p>
    <w:p>
      <w:pPr>
        <w:pStyle w:val="Style16"/>
        <w:numPr>
          <w:ilvl w:val="0"/>
          <w:numId w:val="7"/>
        </w:numPr>
        <w:widowControl w:val="0"/>
        <w:keepNext w:val="0"/>
        <w:keepLines w:val="0"/>
        <w:shd w:val="clear" w:color="auto" w:fill="auto"/>
        <w:bidi w:val="0"/>
        <w:jc w:val="both"/>
        <w:spacing w:before="0" w:after="0" w:line="298" w:lineRule="exact"/>
        <w:ind w:left="40" w:right="60" w:firstLine="720"/>
      </w:pPr>
      <w:r>
        <w:rPr>
          <w:lang w:val="ru-RU" w:eastAsia="ru-RU" w:bidi="ru-RU"/>
          <w:sz w:val="24"/>
          <w:szCs w:val="24"/>
          <w:w w:val="100"/>
          <w:spacing w:val="0"/>
          <w:color w:val="000000"/>
          <w:position w:val="0"/>
        </w:rPr>
        <w:t xml:space="preserve"> особо опасные, технически сложные и уникальные объекты капитального строительства;</w:t>
      </w:r>
    </w:p>
    <w:p>
      <w:pPr>
        <w:pStyle w:val="Style16"/>
        <w:numPr>
          <w:ilvl w:val="0"/>
          <w:numId w:val="7"/>
        </w:numPr>
        <w:widowControl w:val="0"/>
        <w:keepNext w:val="0"/>
        <w:keepLines w:val="0"/>
        <w:shd w:val="clear" w:color="auto" w:fill="auto"/>
        <w:bidi w:val="0"/>
        <w:jc w:val="both"/>
        <w:spacing w:before="0" w:after="0" w:line="298" w:lineRule="exact"/>
        <w:ind w:left="40" w:right="0" w:firstLine="720"/>
      </w:pPr>
      <w:r>
        <w:rPr>
          <w:lang w:val="ru-RU" w:eastAsia="ru-RU" w:bidi="ru-RU"/>
          <w:sz w:val="24"/>
          <w:szCs w:val="24"/>
          <w:w w:val="100"/>
          <w:spacing w:val="0"/>
          <w:color w:val="000000"/>
          <w:position w:val="0"/>
        </w:rPr>
        <w:t xml:space="preserve"> объекты культурного наследия;</w:t>
      </w:r>
    </w:p>
    <w:p>
      <w:pPr>
        <w:pStyle w:val="Style16"/>
        <w:widowControl w:val="0"/>
        <w:keepNext w:val="0"/>
        <w:keepLines w:val="0"/>
        <w:shd w:val="clear" w:color="auto" w:fill="auto"/>
        <w:bidi w:val="0"/>
        <w:jc w:val="both"/>
        <w:spacing w:before="0" w:after="0" w:line="298" w:lineRule="exact"/>
        <w:ind w:left="40" w:right="60" w:firstLine="720"/>
      </w:pPr>
      <w:r>
        <w:rPr>
          <w:lang w:val="ru-RU" w:eastAsia="ru-RU" w:bidi="ru-RU"/>
          <w:sz w:val="24"/>
          <w:szCs w:val="24"/>
          <w:w w:val="100"/>
          <w:spacing w:val="0"/>
          <w:color w:val="000000"/>
          <w:position w:val="0"/>
        </w:rPr>
        <w:t>б) контракты (договоры), соответствующие виду контракта, заключаемого по результатам закупки. К таким видам контрактов (договоров) относятся:</w:t>
      </w:r>
    </w:p>
    <w:p>
      <w:pPr>
        <w:pStyle w:val="Style16"/>
        <w:numPr>
          <w:ilvl w:val="0"/>
          <w:numId w:val="7"/>
        </w:numPr>
        <w:widowControl w:val="0"/>
        <w:keepNext w:val="0"/>
        <w:keepLines w:val="0"/>
        <w:shd w:val="clear" w:color="auto" w:fill="auto"/>
        <w:bidi w:val="0"/>
        <w:jc w:val="both"/>
        <w:spacing w:before="0" w:after="0" w:line="298" w:lineRule="exact"/>
        <w:ind w:left="40" w:right="60" w:firstLine="720"/>
      </w:pPr>
      <w:r>
        <w:rPr>
          <w:lang w:val="ru-RU" w:eastAsia="ru-RU" w:bidi="ru-RU"/>
          <w:sz w:val="24"/>
          <w:szCs w:val="24"/>
          <w:w w:val="100"/>
          <w:spacing w:val="0"/>
          <w:color w:val="000000"/>
          <w:position w:val="0"/>
        </w:rPr>
        <w:t xml:space="preserve"> контракт, предусмотренный частью 16 статьи 34 Закона (если контракт жизненного цикла предусматривает проектирование, строительство, реконструкцию, капитальный ремонт предусмотренного подпунктом "а" настоящего пункта объекта капитального строительства соответствующего вида);</w:t>
      </w:r>
    </w:p>
    <w:p>
      <w:pPr>
        <w:pStyle w:val="Style16"/>
        <w:numPr>
          <w:ilvl w:val="0"/>
          <w:numId w:val="7"/>
        </w:numPr>
        <w:widowControl w:val="0"/>
        <w:keepNext w:val="0"/>
        <w:keepLines w:val="0"/>
        <w:shd w:val="clear" w:color="auto" w:fill="auto"/>
        <w:bidi w:val="0"/>
        <w:jc w:val="both"/>
        <w:spacing w:before="0" w:after="0" w:line="298" w:lineRule="exact"/>
        <w:ind w:left="40" w:right="60" w:firstLine="720"/>
      </w:pPr>
      <w:r>
        <w:rPr>
          <w:lang w:val="ru-RU" w:eastAsia="ru-RU" w:bidi="ru-RU"/>
          <w:sz w:val="24"/>
          <w:szCs w:val="24"/>
          <w:w w:val="100"/>
          <w:spacing w:val="0"/>
          <w:color w:val="000000"/>
          <w:position w:val="0"/>
        </w:rPr>
        <w:t xml:space="preserve"> контракт, предусмотренный частью 16.1 статьи 34 Закона (в отношении предусмотренного подпунктом "а" настоящего пункта объекта капитального строительства соответствующего вида);</w:t>
      </w:r>
    </w:p>
    <w:p>
      <w:pPr>
        <w:pStyle w:val="Style16"/>
        <w:numPr>
          <w:ilvl w:val="0"/>
          <w:numId w:val="7"/>
        </w:numPr>
        <w:widowControl w:val="0"/>
        <w:keepNext w:val="0"/>
        <w:keepLines w:val="0"/>
        <w:shd w:val="clear" w:color="auto" w:fill="auto"/>
        <w:bidi w:val="0"/>
        <w:jc w:val="both"/>
        <w:spacing w:before="0" w:after="0" w:line="298" w:lineRule="exact"/>
        <w:ind w:left="40" w:right="60" w:firstLine="720"/>
      </w:pPr>
      <w:r>
        <w:rPr>
          <w:lang w:val="ru-RU" w:eastAsia="ru-RU" w:bidi="ru-RU"/>
          <w:sz w:val="24"/>
          <w:szCs w:val="24"/>
          <w:w w:val="100"/>
          <w:spacing w:val="0"/>
          <w:color w:val="000000"/>
          <w:position w:val="0"/>
        </w:rPr>
        <w:t xml:space="preserve"> контракт, предусмотренный частью 56 статьи 112 Закона (в отношении предусмотренного подпунктом "а" настоящего пункта объекта капитального строительства соответствующего вида);</w:t>
      </w:r>
    </w:p>
    <w:p>
      <w:pPr>
        <w:pStyle w:val="Style16"/>
        <w:numPr>
          <w:ilvl w:val="0"/>
          <w:numId w:val="7"/>
        </w:numPr>
        <w:widowControl w:val="0"/>
        <w:keepNext w:val="0"/>
        <w:keepLines w:val="0"/>
        <w:shd w:val="clear" w:color="auto" w:fill="auto"/>
        <w:bidi w:val="0"/>
        <w:jc w:val="both"/>
        <w:spacing w:before="0" w:after="0" w:line="298" w:lineRule="exact"/>
        <w:ind w:left="40" w:right="60" w:firstLine="720"/>
      </w:pPr>
      <w:r>
        <w:rPr>
          <w:lang w:val="ru-RU" w:eastAsia="ru-RU" w:bidi="ru-RU"/>
          <w:sz w:val="24"/>
          <w:szCs w:val="24"/>
          <w:w w:val="100"/>
          <w:spacing w:val="0"/>
          <w:color w:val="000000"/>
          <w:position w:val="0"/>
        </w:rPr>
        <w:t xml:space="preserve"> контракт, предметом которого является выполнение работ по строительству, реконструкции, капитальному ремонту, сносу предусмотренного подпунктом "а" настоящего пункта объекта капитального строительства соответствующего вида;</w:t>
      </w:r>
    </w:p>
    <w:p>
      <w:pPr>
        <w:pStyle w:val="Style16"/>
        <w:numPr>
          <w:ilvl w:val="0"/>
          <w:numId w:val="7"/>
        </w:numPr>
        <w:widowControl w:val="0"/>
        <w:keepNext w:val="0"/>
        <w:keepLines w:val="0"/>
        <w:shd w:val="clear" w:color="auto" w:fill="auto"/>
        <w:bidi w:val="0"/>
        <w:jc w:val="both"/>
        <w:spacing w:before="0" w:after="0" w:line="298" w:lineRule="exact"/>
        <w:ind w:left="40" w:right="60" w:firstLine="720"/>
      </w:pPr>
      <w:r>
        <w:rPr>
          <w:lang w:val="ru-RU" w:eastAsia="ru-RU" w:bidi="ru-RU"/>
          <w:sz w:val="24"/>
          <w:szCs w:val="24"/>
          <w:w w:val="100"/>
          <w:spacing w:val="0"/>
          <w:color w:val="000000"/>
          <w:position w:val="0"/>
        </w:rPr>
        <w:t xml:space="preserve"> контракт, предметом которого является проведение работ по сохранению объектов культурного наследия.</w:t>
      </w:r>
    </w:p>
    <w:p>
      <w:pPr>
        <w:pStyle w:val="Style16"/>
        <w:widowControl w:val="0"/>
        <w:keepNext w:val="0"/>
        <w:keepLines w:val="0"/>
        <w:shd w:val="clear" w:color="auto" w:fill="auto"/>
        <w:bidi w:val="0"/>
        <w:jc w:val="both"/>
        <w:spacing w:before="0" w:after="0" w:line="298" w:lineRule="exact"/>
        <w:ind w:left="40" w:right="60" w:firstLine="720"/>
      </w:pPr>
      <w:r>
        <w:rPr>
          <w:lang w:val="ru-RU" w:eastAsia="ru-RU" w:bidi="ru-RU"/>
          <w:sz w:val="24"/>
          <w:szCs w:val="24"/>
          <w:w w:val="100"/>
          <w:spacing w:val="0"/>
          <w:color w:val="000000"/>
          <w:position w:val="0"/>
        </w:rPr>
        <w:t>Таким образом, Правилами, установлены наименования видов контрактов (договоров), подлежащих оценке, а именно: при закупке работ по реконструкции объекта капитального строительства Заказчик вправе установить один из двух вариантов видов контрактов (договоров):</w:t>
      </w:r>
    </w:p>
    <w:p>
      <w:pPr>
        <w:pStyle w:val="Style16"/>
        <w:numPr>
          <w:ilvl w:val="0"/>
          <w:numId w:val="7"/>
        </w:numPr>
        <w:widowControl w:val="0"/>
        <w:keepNext w:val="0"/>
        <w:keepLines w:val="0"/>
        <w:shd w:val="clear" w:color="auto" w:fill="auto"/>
        <w:bidi w:val="0"/>
        <w:jc w:val="both"/>
        <w:spacing w:before="0" w:after="0" w:line="298" w:lineRule="exact"/>
        <w:ind w:left="40" w:right="60" w:firstLine="720"/>
      </w:pPr>
      <w:r>
        <w:rPr>
          <w:lang w:val="ru-RU" w:eastAsia="ru-RU" w:bidi="ru-RU"/>
          <w:sz w:val="24"/>
          <w:szCs w:val="24"/>
          <w:w w:val="100"/>
          <w:spacing w:val="0"/>
          <w:color w:val="000000"/>
          <w:position w:val="0"/>
        </w:rPr>
        <w:t xml:space="preserve"> или "контракты (договоры), предусматривающие выполнение работ по строительству, реконструкции объектов капитального строительства, проведение работ по сохранению объектов культурного наследия, относящихся к виду объекта капитального строительства, выполнение работ по реконструкции которого, является объектом закупки" - в силу подпункта "а" пункта 27 (3), с учетом вида объекта капитального строительства, закупку на реконструкцию которого осуществляет Заказчик;</w:t>
      </w:r>
    </w:p>
    <w:p>
      <w:pPr>
        <w:pStyle w:val="Style16"/>
        <w:numPr>
          <w:ilvl w:val="0"/>
          <w:numId w:val="7"/>
        </w:numPr>
        <w:widowControl w:val="0"/>
        <w:keepNext w:val="0"/>
        <w:keepLines w:val="0"/>
        <w:shd w:val="clear" w:color="auto" w:fill="auto"/>
        <w:bidi w:val="0"/>
        <w:jc w:val="both"/>
        <w:spacing w:before="0" w:after="0" w:line="298" w:lineRule="exact"/>
        <w:ind w:left="40" w:right="60" w:firstLine="720"/>
      </w:pPr>
      <w:r>
        <w:rPr>
          <w:lang w:val="ru-RU" w:eastAsia="ru-RU" w:bidi="ru-RU"/>
          <w:sz w:val="24"/>
          <w:szCs w:val="24"/>
          <w:w w:val="100"/>
          <w:spacing w:val="0"/>
          <w:color w:val="000000"/>
          <w:position w:val="0"/>
        </w:rPr>
        <w:t xml:space="preserve"> или "контракты (договоры), соответствующие виду контракта, заключаемого по результатам закупки, предметом которого является выполнение работ по строительству, реконструкции, капитальному ремонту, сносу объекта капитального строительства соответствующего вида" - в силу подпункта "б" пункта 27 (3), с учетом вида объекта капитального строительства, закупку на реконструкцию которого осуществляет Заказчик.</w:t>
      </w:r>
    </w:p>
    <w:p>
      <w:pPr>
        <w:pStyle w:val="Style16"/>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Таким образом, Заказчиком неправомерно сокращен установленный Правилами перечень контрактов, подлежащий оценке.</w:t>
      </w:r>
    </w:p>
    <w:p>
      <w:pPr>
        <w:pStyle w:val="Style16"/>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С учетом установленных Заказчиком положений в отношении спорного критерия, а также с учетом вышеуказанных норм законодательства, Комиссия приходит к выводу о нарушении в данной части Заказчиком положений частью 1 статьи 54.3 Закона о контрактной системе.</w:t>
      </w:r>
    </w:p>
    <w:p>
      <w:pPr>
        <w:pStyle w:val="Style16"/>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В силу части 6 статьи 110.2 Закона о контрактной системе объем, содержание работ по контрактам, предметом которых являются строительство, реконструкция объектов капитального строительства, определяются проектной документацией объектов капитального строительства, а также иной технической документацией, предусмотренной такими контрактами. При этом выполнение работ по таким контрактам осуществляется в соответствии с графиком выполнения строительно</w:t>
        <w:softHyphen/>
        <w:t>монтажных работ, являющимся обязательным приложением к таким контрактам.</w:t>
      </w:r>
    </w:p>
    <w:p>
      <w:pPr>
        <w:pStyle w:val="Style16"/>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Согласно части 7 статьи 110.2 Закона о контрактной системе методики составления сметы контракта, графика оплаты выполненных по контракту работ, графика выполнения строительно-монтажных работ утверждаются уполномоченным Правительством Российской Федерации федеральным органом исполнительной власти.</w:t>
      </w:r>
    </w:p>
    <w:p>
      <w:pPr>
        <w:pStyle w:val="Style16"/>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В соответствии с частью 3 статьи 54.3 Закона о контрактной системе к конкурсной документации должен быть приложен проект контракта, который является неотъемлемой частью конкурсной документации.</w:t>
      </w:r>
    </w:p>
    <w:p>
      <w:pPr>
        <w:pStyle w:val="Style16"/>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Приказом Минстроя Российской Федерации от 05.06.2018 № 336/пр утверждена методика составления графика выполнения строительно - монтажных работ и графика оплаты выполненных по контракту (договору), предметом которого являются строительство, реконструкция объектов капитального строительства, работ (далее - Методика).</w:t>
      </w:r>
    </w:p>
    <w:p>
      <w:pPr>
        <w:pStyle w:val="Style16"/>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В силу п. 1.4. Методики проекты графика выполнения работ и графика оплаты выполненных работ составляются заказчиком одновременно с проектом контракта, являются его приложением и размещаются заказчиком в единой информационной системе в сфере закупок вместе с документацией об осуществлении закупки, извещением о закупке.</w:t>
      </w:r>
    </w:p>
    <w:p>
      <w:pPr>
        <w:pStyle w:val="Style16"/>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Согласно пункту 1.7. Методики изменение графика выполнения работ и графика оплаты выполненных работ не допускается, за исключением случаев, предусмотренных контрактом, с учетом требований Закона о контрактной системе.</w:t>
      </w:r>
    </w:p>
    <w:p>
      <w:pPr>
        <w:pStyle w:val="Style16"/>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Пунктом 2.9. Методики установлено, дополнительно под табличной частью графика выполнения работ до полей для подписания его сторонами контракта в графике выполнения работ должны быть отражены даты, не позднее которых должны состоятся следующие события:</w:t>
      </w:r>
    </w:p>
    <w:p>
      <w:pPr>
        <w:pStyle w:val="Style16"/>
        <w:numPr>
          <w:ilvl w:val="0"/>
          <w:numId w:val="9"/>
        </w:numPr>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 подписание сторонами акта о соответствии состояния земельного участка (объекта капитального строительства, подлежащего реконструкции) условиям контракта;</w:t>
      </w:r>
    </w:p>
    <w:p>
      <w:pPr>
        <w:pStyle w:val="Style16"/>
        <w:numPr>
          <w:ilvl w:val="0"/>
          <w:numId w:val="9"/>
        </w:numPr>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 передача подрядчику копии разрешения на строительство, реконструкцию объекта; копии решения собственника имущества о его сносе (при необходимости); копии разрешения на вырубку зеленых и лесных насаждений; копии технических условий и разрешений на временное присоединение объекта к сетям инженерно-технического обеспечения в соответствии с проектом организации строительства;</w:t>
      </w:r>
    </w:p>
    <w:p>
      <w:pPr>
        <w:pStyle w:val="Style16"/>
        <w:numPr>
          <w:ilvl w:val="0"/>
          <w:numId w:val="9"/>
        </w:numPr>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 xml:space="preserve"> передача подрядчику копий документов, подтверждающих согласование производства отдельных работ, если необходимость такого согласования установлена законодательством Российской Федерации;</w:t>
      </w:r>
    </w:p>
    <w:p>
      <w:pPr>
        <w:pStyle w:val="Style16"/>
        <w:numPr>
          <w:ilvl w:val="0"/>
          <w:numId w:val="9"/>
        </w:numPr>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 xml:space="preserve"> подключение объекта к сетям инженерно-технического обеспечения в соответствии с техническими условиями, предусмотренными проектной документацией;</w:t>
      </w:r>
    </w:p>
    <w:p>
      <w:pPr>
        <w:pStyle w:val="Style16"/>
        <w:numPr>
          <w:ilvl w:val="0"/>
          <w:numId w:val="9"/>
        </w:numPr>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 xml:space="preserve"> подписание акта о соответствии состояния земельного участка условиям контракта при завершении строительства, реконструкции объекта.</w:t>
      </w:r>
    </w:p>
    <w:p>
      <w:pPr>
        <w:pStyle w:val="Style16"/>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Вместе с тем, в соответствии с частью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w:t>
      </w:r>
    </w:p>
    <w:p>
      <w:pPr>
        <w:pStyle w:val="Style16"/>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График выполнения строительно-монтажных работ - это приложение к проекту контракта, являющегося частью Документации. Поскольку в составе заявки не предусмотрено подачи сведений, относительно дат и объемов выполнения строительно-монтажных работ, а внесение изменений в Документацию на стадии заключения или исполнения контракта не допускается, то график выполнения строительно-монтажных работ должен быть заполнен Заказчиком на стадии утверждения Документации.</w:t>
      </w:r>
    </w:p>
    <w:p>
      <w:pPr>
        <w:pStyle w:val="Style16"/>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Таким образом, Заказчик, в графике выполнения строительно-монтажных работ, фактически не определил существенные условия контракта.</w:t>
      </w:r>
    </w:p>
    <w:p>
      <w:pPr>
        <w:pStyle w:val="Style16"/>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График выполнения строительно-монтажных работ не соответствует пункту 2.9 Методики, следовательно, Заказчиком нарушена ч. 6 ст. 110.2 Закона о контрактной системе.</w:t>
      </w:r>
    </w:p>
    <w:p>
      <w:pPr>
        <w:pStyle w:val="Style16"/>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В соответствии со статьей 48 Градостроительного кодекса Российской Федерации (далее - ГрК РФ) 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pPr>
        <w:pStyle w:val="Style16"/>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Проектная документация определяет объем, содержание работ в другие предъявляемые к ним требования, при этом смета является частью проектной документации,</w:t>
      </w:r>
    </w:p>
    <w:p>
      <w:pPr>
        <w:pStyle w:val="Style16"/>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В соответствии с частью 1 статьи 743 Гражданского кодекса Российской Федерации подрядчик обязан осуществлять строительство и связанные с ним работы в соответствии с технической документацией, определяющей объем, содержание работ и другие предъявляемые к ним требования, и со сметой, определяющей цену работ.</w:t>
      </w:r>
    </w:p>
    <w:p>
      <w:pPr>
        <w:pStyle w:val="Style16"/>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В соответствии с частью 6 статьи 52 ГрК РФ лицо, осуществляющее строительство, обязано осуществлять строительство, реконструкцию, капитальный ремонт объекта капитального строительства, в том числе в соответствии с проектной документацией.</w:t>
      </w:r>
    </w:p>
    <w:p>
      <w:pPr>
        <w:pStyle w:val="Style16"/>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Состав проектно-сметной документации определен статьей 48 Градостроительного кодекса Российской Федерации и Положением о составе разделов проектной документации и требованиях к их содержанию, утвержденным постановлением Правительства Российской Федерации от 16.02.2008 № 87.</w:t>
      </w:r>
    </w:p>
    <w:p>
      <w:pPr>
        <w:pStyle w:val="Style1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части 2 статьи 48 ГрК РФ 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pPr>
        <w:pStyle w:val="Style1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Из анализа Положения о составе разделов проектной документации и требованиях к их содержанию следует, что проектная документация состоит из текстовой части, которая содержит сведения в отношении объекта капитального строительства, описание принятых технических и иных решений, пояснения, ссылки на нормативные и (или) технические документы, используемые при подготовке проектной документации и результаты расчетов, обосновывающие принятые решения; из графической части, которая отображает принятые технические и иные решения и выполняется в виде чертежей, схем, планов и других документов в графической форме, иными словами содержит требования к результату выполняемых работ.</w:t>
      </w:r>
    </w:p>
    <w:p>
      <w:pPr>
        <w:pStyle w:val="Style1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части 1 статьи 33 Закона о контрактной системе документация о закупке должна содержать наименование и описание объекта закупки и условия контракта, при этом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Таким образом, документация о закупке должна содержать описание выполняемых работ, требования к качеству и объему выполняемых работ.</w:t>
      </w:r>
    </w:p>
    <w:p>
      <w:pPr>
        <w:pStyle w:val="Style1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Кроме того, в соответствии с частью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w:t>
      </w:r>
    </w:p>
    <w:p>
      <w:pPr>
        <w:pStyle w:val="Style1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Таким образом, строительство, реконструкция, капитальный ремонт объекта капитального строительства осуществляется на основании проектной документации, которая содержит показатели, связанные с определением соответствия выполняемых работ, оказываемых услуг потребностям заказчика.</w:t>
      </w:r>
    </w:p>
    <w:p>
      <w:pPr>
        <w:pStyle w:val="Style1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Отсутствие проектно-сметной документации в полном объеме в составе документации означает, что Заказчик не установил требования к объему работ, подлежащих выполнению в рамках заключаемого контракта, и лишает участника закупки обоснованно сформировать свое предложение.</w:t>
      </w:r>
    </w:p>
    <w:p>
      <w:pPr>
        <w:pStyle w:val="Style1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На основании вышеизложенного, при проведении закупки на выполнение строительных работ в соответствии с Законом о контрактной системе отсутствие проектно-сметной документации в полном объеме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Pr>
          <w:lang w:val="en-US" w:eastAsia="en-US" w:bidi="en-US"/>
          <w:sz w:val="24"/>
          <w:szCs w:val="24"/>
          <w:w w:val="100"/>
          <w:spacing w:val="0"/>
          <w:color w:val="000000"/>
          <w:position w:val="0"/>
        </w:rPr>
        <w:t>(</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(далее - Официальный сайт) нарушает пункт 1 части 1 статьи 33 Закона о контрактной системе.</w:t>
      </w:r>
    </w:p>
    <w:p>
      <w:pPr>
        <w:pStyle w:val="Style1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соответствии с пунктами 1, 5, 6 части 68 статьи 112 Закона о контрактной системе до 1 января 2024, в случае осуществления закупки работ по строительству, реконструкции, капитальному ремонту, сносу объектов капитального строительства путем проведения открытого конкурса в электронной форме и при включении в описание объекта закупки в соответствии с пунктом 8 части 1 статьи 33 Закона о контрактной системе проектной документации такой конкурс проводится с учетом особенностей, а именно:</w:t>
      </w:r>
    </w:p>
    <w:p>
      <w:pPr>
        <w:pStyle w:val="Style16"/>
        <w:numPr>
          <w:ilvl w:val="0"/>
          <w:numId w:val="7"/>
        </w:numPr>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 xml:space="preserve"> в извещении о проведении конкурса не указывается информация о дате и времени рассмотрения и оценки первых, вторых частей заявок, поданных на участие в открытом конкурсе в электронной форме, о дате подачи участниками открытого конкурса в электронной форме окончательных предложений о цене контракта;</w:t>
      </w:r>
    </w:p>
    <w:p>
      <w:pPr>
        <w:pStyle w:val="Style16"/>
        <w:numPr>
          <w:ilvl w:val="0"/>
          <w:numId w:val="7"/>
        </w:numPr>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 xml:space="preserve"> протокол рассмотрения и оценки первых частей заявок, поданных на участие в конкурсе, предусмотренный частью 6 статьи 54.5 Закона о контрактной системе, не оформляется;</w:t>
      </w:r>
    </w:p>
    <w:p>
      <w:pPr>
        <w:pStyle w:val="Style16"/>
        <w:numPr>
          <w:ilvl w:val="0"/>
          <w:numId w:val="7"/>
        </w:numPr>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 xml:space="preserve"> подача окончательных предложений о цене контракта, предусмотренная статьей 54.6 Закона о контрактной системе, не осуществляется.</w:t>
      </w:r>
    </w:p>
    <w:p>
      <w:pPr>
        <w:pStyle w:val="Style16"/>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Согласно сведениям, размещенным в ЕИС, в извещении конкурсной документации, установлены в том числе: дата и время рассмотрения и оценки первых, вторых частей заявок, поданных на участие в конкурсе, дата подачи участниками конкурса окончательных предложений о цене контракта.</w:t>
      </w:r>
    </w:p>
    <w:p>
      <w:pPr>
        <w:pStyle w:val="Style16"/>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При этом на заседании Комиссии установлено, что объектом закупки является реконструкция объекта капитального строительства.</w:t>
      </w:r>
    </w:p>
    <w:p>
      <w:pPr>
        <w:pStyle w:val="Style16"/>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Учитывая изложенное, Комиссия приходит к выводу, что вышеуказанные действия Заказчика нарушают часть 68 статьи 112 Закона о контрактной системе.</w:t>
      </w:r>
    </w:p>
    <w:p>
      <w:pPr>
        <w:pStyle w:val="Style16"/>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Согласно части 3 статьи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6"/>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Пунктом 5 приложения № 1 «Техническое задание» к проекту муниципального контракта Заказчиком определено, в том числе: «Срок выполнения работ: Дата начала работ: с момента заключения договора выполняется в два этапа.</w:t>
      </w:r>
    </w:p>
    <w:p>
      <w:pPr>
        <w:pStyle w:val="Style16"/>
        <w:widowControl w:val="0"/>
        <w:keepNext w:val="0"/>
        <w:keepLines w:val="0"/>
        <w:shd w:val="clear" w:color="auto" w:fill="auto"/>
        <w:bidi w:val="0"/>
        <w:jc w:val="both"/>
        <w:spacing w:before="0" w:after="0" w:line="298" w:lineRule="exact"/>
        <w:ind w:left="40" w:right="0" w:firstLine="720"/>
      </w:pPr>
      <w:r>
        <w:rPr>
          <w:lang w:val="ru-RU" w:eastAsia="ru-RU" w:bidi="ru-RU"/>
          <w:sz w:val="24"/>
          <w:szCs w:val="24"/>
          <w:w w:val="100"/>
          <w:spacing w:val="0"/>
          <w:color w:val="000000"/>
          <w:position w:val="0"/>
        </w:rPr>
        <w:t>I этап:</w:t>
      </w:r>
    </w:p>
    <w:p>
      <w:pPr>
        <w:pStyle w:val="Style16"/>
        <w:widowControl w:val="0"/>
        <w:keepNext w:val="0"/>
        <w:keepLines w:val="0"/>
        <w:shd w:val="clear" w:color="auto" w:fill="auto"/>
        <w:bidi w:val="0"/>
        <w:jc w:val="both"/>
        <w:spacing w:before="0" w:after="0" w:line="298" w:lineRule="exact"/>
        <w:ind w:left="40" w:right="0" w:firstLine="720"/>
      </w:pPr>
      <w:r>
        <w:rPr>
          <w:lang w:val="ru-RU" w:eastAsia="ru-RU" w:bidi="ru-RU"/>
          <w:sz w:val="24"/>
          <w:szCs w:val="24"/>
          <w:w w:val="100"/>
          <w:spacing w:val="0"/>
          <w:color w:val="000000"/>
          <w:position w:val="0"/>
        </w:rPr>
        <w:t>1.1 .поставка оборудования и материалов до 15.12.2021 г.</w:t>
      </w:r>
    </w:p>
    <w:p>
      <w:pPr>
        <w:pStyle w:val="Style16"/>
        <w:widowControl w:val="0"/>
        <w:keepNext w:val="0"/>
        <w:keepLines w:val="0"/>
        <w:shd w:val="clear" w:color="auto" w:fill="auto"/>
        <w:bidi w:val="0"/>
        <w:jc w:val="both"/>
        <w:spacing w:before="0" w:after="0" w:line="298" w:lineRule="exact"/>
        <w:ind w:left="40" w:right="0" w:firstLine="720"/>
      </w:pPr>
      <w:r>
        <w:rPr>
          <w:lang w:val="ru-RU" w:eastAsia="ru-RU" w:bidi="ru-RU"/>
          <w:sz w:val="24"/>
          <w:szCs w:val="24"/>
          <w:w w:val="100"/>
          <w:spacing w:val="0"/>
          <w:color w:val="000000"/>
          <w:position w:val="0"/>
        </w:rPr>
        <w:t>1.2.демонтажные работы до 20.12.2021г.</w:t>
      </w:r>
    </w:p>
    <w:p>
      <w:pPr>
        <w:pStyle w:val="Style16"/>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Однако, приложением № 3 «График выполнения строительно-монтажных работ» к проекту муниципального контракта Заказчиком определено, в том числе: «поставка оборудования и материалов до 01.12.2021 г.», «демонтажные работы до 10.12.2021г.».</w:t>
      </w:r>
    </w:p>
    <w:p>
      <w:pPr>
        <w:pStyle w:val="Style16"/>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Таким образом, Комиссией делает вывод, что Заказчиком при формировании Конкурсной документации указана недостоверная информация, что не соответствует положениям части 3 статьи 7 Закона о контрактной системе.</w:t>
      </w:r>
    </w:p>
    <w:p>
      <w:pPr>
        <w:pStyle w:val="Style16"/>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Рассмотрев жалобы ООО «Алтайвектор», ИП Меньшиков Р.А., руководствуясь пунктом 1 части 3, части 15 статьи 99, части 8 статьи 106 Закона о контрактной системе,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Комиссия Амурского У ФАС России приняла</w:t>
      </w:r>
    </w:p>
    <w:p>
      <w:pPr>
        <w:pStyle w:val="Style21"/>
        <w:widowControl w:val="0"/>
        <w:keepNext w:val="0"/>
        <w:keepLines w:val="0"/>
        <w:shd w:val="clear" w:color="auto" w:fill="auto"/>
        <w:bidi w:val="0"/>
        <w:jc w:val="left"/>
        <w:spacing w:before="0" w:after="242" w:line="260" w:lineRule="exact"/>
        <w:ind w:left="4320" w:right="0" w:firstLine="0"/>
      </w:pPr>
      <w:r>
        <w:rPr>
          <w:lang w:val="ru-RU" w:eastAsia="ru-RU" w:bidi="ru-RU"/>
          <w:w w:val="100"/>
          <w:color w:val="000000"/>
          <w:position w:val="0"/>
        </w:rPr>
        <w:t>РЕШЕНИЕ:</w:t>
      </w:r>
    </w:p>
    <w:p>
      <w:pPr>
        <w:pStyle w:val="Style16"/>
        <w:numPr>
          <w:ilvl w:val="0"/>
          <w:numId w:val="11"/>
        </w:numPr>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 xml:space="preserve"> Признать жалобу общества с ограниченной ответственностью «Алтайвектор» обоснованной.</w:t>
      </w:r>
    </w:p>
    <w:p>
      <w:pPr>
        <w:pStyle w:val="Style16"/>
        <w:numPr>
          <w:ilvl w:val="0"/>
          <w:numId w:val="11"/>
        </w:numPr>
        <w:widowControl w:val="0"/>
        <w:keepNext w:val="0"/>
        <w:keepLines w:val="0"/>
        <w:shd w:val="clear" w:color="auto" w:fill="auto"/>
        <w:bidi w:val="0"/>
        <w:jc w:val="both"/>
        <w:spacing w:before="0" w:after="0" w:line="312" w:lineRule="exact"/>
        <w:ind w:left="20" w:right="20" w:firstLine="720"/>
      </w:pPr>
      <w:r>
        <w:rPr>
          <w:lang w:val="ru-RU" w:eastAsia="ru-RU" w:bidi="ru-RU"/>
          <w:sz w:val="24"/>
          <w:szCs w:val="24"/>
          <w:w w:val="100"/>
          <w:spacing w:val="0"/>
          <w:color w:val="000000"/>
          <w:position w:val="0"/>
        </w:rPr>
        <w:t xml:space="preserve"> Признать жалобу индивидуального предпринимателя Меньшикова Романа Анатольевича обоснованной.</w:t>
      </w:r>
    </w:p>
    <w:p>
      <w:pPr>
        <w:pStyle w:val="Style16"/>
        <w:numPr>
          <w:ilvl w:val="0"/>
          <w:numId w:val="11"/>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Признать муниципального заказчика - администрацию рп. Новобурейский Амурской области нарушившим часть 3 статьи 7, часть 6 статьи 110.2, часть 1 статьи</w:t>
      </w:r>
    </w:p>
    <w:p>
      <w:pPr>
        <w:pStyle w:val="Style16"/>
        <w:numPr>
          <w:ilvl w:val="0"/>
          <w:numId w:val="13"/>
        </w:numPr>
        <w:tabs>
          <w:tab w:leader="none" w:pos="685" w:val="left"/>
        </w:tabs>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пункта 8 часть 1 статьи 54.3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16"/>
        <w:numPr>
          <w:ilvl w:val="0"/>
          <w:numId w:val="11"/>
        </w:numPr>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 xml:space="preserve"> Выдать муниципальному заказчику - администрации рп. Новобурейский Амурской области предписание об устранении допущенных нарушений законодательства Российской Федерации о контрактной системе.</w:t>
      </w:r>
    </w:p>
    <w:p>
      <w:pPr>
        <w:pStyle w:val="Style16"/>
        <w:numPr>
          <w:ilvl w:val="0"/>
          <w:numId w:val="11"/>
        </w:numPr>
        <w:widowControl w:val="0"/>
        <w:keepNext w:val="0"/>
        <w:keepLines w:val="0"/>
        <w:shd w:val="clear" w:color="auto" w:fill="auto"/>
        <w:bidi w:val="0"/>
        <w:jc w:val="both"/>
        <w:spacing w:before="0" w:after="240"/>
        <w:ind w:left="20" w:right="20" w:firstLine="720"/>
      </w:pPr>
      <w:r>
        <w:rPr>
          <w:lang w:val="ru-RU" w:eastAsia="ru-RU" w:bidi="ru-RU"/>
          <w:sz w:val="24"/>
          <w:szCs w:val="24"/>
          <w:w w:val="100"/>
          <w:spacing w:val="0"/>
          <w:color w:val="000000"/>
          <w:position w:val="0"/>
        </w:rPr>
        <w:t xml:space="preserve"> Передать материалы дела должностному лицу Амурского У ФАС России для рассмотрения вопроса о возбуждения административного производства.</w:t>
      </w:r>
    </w:p>
    <w:p>
      <w:pPr>
        <w:pStyle w:val="Style16"/>
        <w:widowControl w:val="0"/>
        <w:keepNext w:val="0"/>
        <w:keepLines w:val="0"/>
        <w:shd w:val="clear" w:color="auto" w:fill="auto"/>
        <w:bidi w:val="0"/>
        <w:jc w:val="both"/>
        <w:spacing w:before="0" w:after="0"/>
        <w:ind w:left="20" w:right="20" w:firstLine="720"/>
        <w:sectPr>
          <w:type w:val="continuous"/>
          <w:pgSz w:w="11906" w:h="16838"/>
          <w:pgMar w:top="743" w:left="1513" w:right="327" w:bottom="499" w:header="0" w:footer="3" w:gutter="0"/>
          <w:rtlGutter w:val="0"/>
          <w:cols w:space="720"/>
          <w:noEndnote/>
          <w:docGrid w:linePitch="360"/>
        </w:sectPr>
      </w:pPr>
      <w:r>
        <w:rPr>
          <w:lang w:val="ru-RU" w:eastAsia="ru-RU" w:bidi="ru-RU"/>
          <w:sz w:val="24"/>
          <w:szCs w:val="24"/>
          <w:w w:val="100"/>
          <w:spacing w:val="0"/>
          <w:color w:val="000000"/>
          <w:position w:val="0"/>
        </w:rPr>
        <w:t>Решение может быть обжаловано в Арбитражный суд Амурской области в течение трех месяцев со дня его принятия.</w:t>
      </w:r>
    </w:p>
    <w:p>
      <w:pPr>
        <w:widowControl w:val="0"/>
        <w:spacing w:line="240" w:lineRule="exact"/>
        <w:rPr>
          <w:sz w:val="19"/>
          <w:szCs w:val="19"/>
        </w:rPr>
      </w:pPr>
    </w:p>
    <w:p>
      <w:pPr>
        <w:widowControl w:val="0"/>
        <w:spacing w:before="80" w:after="8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widowControl w:val="0"/>
        <w:keepNext w:val="0"/>
        <w:keepLines w:val="0"/>
        <w:shd w:val="clear" w:color="auto" w:fill="auto"/>
        <w:bidi w:val="0"/>
        <w:jc w:val="left"/>
        <w:spacing w:before="0" w:after="302" w:line="240" w:lineRule="exact"/>
        <w:ind w:left="0" w:right="0" w:firstLine="0"/>
      </w:pPr>
      <w:r>
        <w:rPr>
          <w:lang w:val="ru-RU" w:eastAsia="ru-RU" w:bidi="ru-RU"/>
          <w:sz w:val="24"/>
          <w:szCs w:val="24"/>
          <w:w w:val="100"/>
          <w:spacing w:val="0"/>
          <w:color w:val="000000"/>
          <w:position w:val="0"/>
        </w:rPr>
        <w:t>Председатель Комиссии:</w:t>
      </w:r>
    </w:p>
    <w:p>
      <w:pPr>
        <w:pStyle w:val="Style16"/>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Члены Комиссии:</w:t>
      </w:r>
    </w:p>
    <w:sectPr>
      <w:type w:val="continuous"/>
      <w:pgSz w:w="11906" w:h="16838"/>
      <w:pgMar w:top="4536" w:left="1703" w:right="7079" w:bottom="470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27.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29.09.%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2.9.%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2">
    <w:multiLevelType w:val="multilevel"/>
    <w:lvl w:ilvl="0">
      <w:start w:val="3"/>
      <w:numFmt w:val="decimal"/>
      <w:lvlText w:val="54.%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22"/>
      <w:szCs w:val="22"/>
      <w:rFonts w:ascii="Times New Roman" w:eastAsia="Times New Roman" w:hAnsi="Times New Roman" w:cs="Times New Roman"/>
      <w:spacing w:val="10"/>
    </w:rPr>
  </w:style>
  <w:style w:type="character" w:customStyle="1" w:styleId="CharStyle7">
    <w:name w:val="Основной текст (2) + 13 pt,Не полужирный"/>
    <w:basedOn w:val="CharStyle4"/>
    <w:rPr>
      <w:lang w:val="ru-RU" w:eastAsia="ru-RU" w:bidi="ru-RU"/>
      <w:b/>
      <w:bCs/>
      <w:sz w:val="26"/>
      <w:szCs w:val="26"/>
      <w:w w:val="100"/>
      <w:spacing w:val="0"/>
      <w:color w:val="000000"/>
      <w:position w:val="0"/>
    </w:rPr>
  </w:style>
  <w:style w:type="character" w:customStyle="1" w:styleId="CharStyle9">
    <w:name w:val="Основной текст (4)_"/>
    <w:basedOn w:val="DefaultParagraphFont"/>
    <w:link w:val="Style8"/>
    <w:rPr>
      <w:b w:val="0"/>
      <w:bCs w:val="0"/>
      <w:i w:val="0"/>
      <w:iCs w:val="0"/>
      <w:u w:val="none"/>
      <w:strike w:val="0"/>
      <w:smallCaps w:val="0"/>
      <w:sz w:val="16"/>
      <w:szCs w:val="16"/>
      <w:rFonts w:ascii="Times New Roman" w:eastAsia="Times New Roman" w:hAnsi="Times New Roman" w:cs="Times New Roman"/>
      <w:spacing w:val="10"/>
    </w:rPr>
  </w:style>
  <w:style w:type="character" w:customStyle="1" w:styleId="CharStyle11">
    <w:name w:val="Заголовок №1_"/>
    <w:basedOn w:val="DefaultParagraphFont"/>
    <w:link w:val="Style10"/>
    <w:rPr>
      <w:b/>
      <w:bCs/>
      <w:i w:val="0"/>
      <w:iCs w:val="0"/>
      <w:u w:val="none"/>
      <w:strike w:val="0"/>
      <w:smallCaps w:val="0"/>
      <w:rFonts w:ascii="Times New Roman" w:eastAsia="Times New Roman" w:hAnsi="Times New Roman" w:cs="Times New Roman"/>
      <w:w w:val="60"/>
    </w:rPr>
  </w:style>
  <w:style w:type="character" w:customStyle="1" w:styleId="CharStyle12">
    <w:name w:val="Заголовок №1"/>
    <w:basedOn w:val="CharStyle11"/>
    <w:rPr>
      <w:lang w:val="ru-RU" w:eastAsia="ru-RU" w:bidi="ru-RU"/>
      <w:u w:val="single"/>
      <w:sz w:val="24"/>
      <w:szCs w:val="24"/>
      <w:spacing w:val="0"/>
      <w:color w:val="000000"/>
      <w:position w:val="0"/>
    </w:rPr>
  </w:style>
  <w:style w:type="character" w:customStyle="1" w:styleId="CharStyle13">
    <w:name w:val="Заголовок №1 + Sylfaen,10,5 pt,Не полужирный,Масштаб 100%"/>
    <w:basedOn w:val="CharStyle11"/>
    <w:rPr>
      <w:lang w:val="ru-RU" w:eastAsia="ru-RU" w:bidi="ru-RU"/>
      <w:b/>
      <w:bCs/>
      <w:u w:val="single"/>
      <w:sz w:val="21"/>
      <w:szCs w:val="21"/>
      <w:rFonts w:ascii="Sylfaen" w:eastAsia="Sylfaen" w:hAnsi="Sylfaen" w:cs="Sylfaen"/>
      <w:w w:val="100"/>
      <w:spacing w:val="0"/>
      <w:color w:val="000000"/>
      <w:position w:val="0"/>
    </w:rPr>
  </w:style>
  <w:style w:type="character" w:customStyle="1" w:styleId="CharStyle15">
    <w:name w:val="Основной текст (5)_"/>
    <w:basedOn w:val="DefaultParagraphFont"/>
    <w:link w:val="Style14"/>
    <w:rPr>
      <w:b/>
      <w:bCs/>
      <w:i w:val="0"/>
      <w:iCs w:val="0"/>
      <w:u w:val="none"/>
      <w:strike w:val="0"/>
      <w:smallCaps w:val="0"/>
      <w:rFonts w:ascii="Times New Roman" w:eastAsia="Times New Roman" w:hAnsi="Times New Roman" w:cs="Times New Roman"/>
    </w:rPr>
  </w:style>
  <w:style w:type="character" w:customStyle="1" w:styleId="CharStyle17">
    <w:name w:val="Основной текст_"/>
    <w:basedOn w:val="DefaultParagraphFont"/>
    <w:link w:val="Style16"/>
    <w:rPr>
      <w:b w:val="0"/>
      <w:bCs w:val="0"/>
      <w:i w:val="0"/>
      <w:iCs w:val="0"/>
      <w:u w:val="none"/>
      <w:strike w:val="0"/>
      <w:smallCaps w:val="0"/>
      <w:rFonts w:ascii="Times New Roman" w:eastAsia="Times New Roman" w:hAnsi="Times New Roman" w:cs="Times New Roman"/>
    </w:rPr>
  </w:style>
  <w:style w:type="character" w:customStyle="1" w:styleId="CharStyle19">
    <w:name w:val="Основной текст (6)_"/>
    <w:basedOn w:val="DefaultParagraphFont"/>
    <w:link w:val="Style18"/>
    <w:rPr>
      <w:b/>
      <w:bCs/>
      <w:i w:val="0"/>
      <w:iCs w:val="0"/>
      <w:u w:val="none"/>
      <w:strike w:val="0"/>
      <w:smallCaps w:val="0"/>
      <w:sz w:val="22"/>
      <w:szCs w:val="22"/>
      <w:rFonts w:ascii="Tahoma" w:eastAsia="Tahoma" w:hAnsi="Tahoma" w:cs="Tahoma"/>
    </w:rPr>
  </w:style>
  <w:style w:type="character" w:customStyle="1" w:styleId="CharStyle20">
    <w:name w:val="Основной текст (6) + 13 pt"/>
    <w:basedOn w:val="CharStyle19"/>
    <w:rPr>
      <w:lang w:val="ru-RU" w:eastAsia="ru-RU" w:bidi="ru-RU"/>
      <w:sz w:val="26"/>
      <w:szCs w:val="26"/>
      <w:w w:val="100"/>
      <w:spacing w:val="0"/>
      <w:color w:val="000000"/>
      <w:position w:val="0"/>
    </w:rPr>
  </w:style>
  <w:style w:type="character" w:customStyle="1" w:styleId="CharStyle22">
    <w:name w:val="Основной текст (7)_"/>
    <w:basedOn w:val="DefaultParagraphFont"/>
    <w:link w:val="Style21"/>
    <w:rPr>
      <w:b w:val="0"/>
      <w:bCs w:val="0"/>
      <w:i w:val="0"/>
      <w:iCs w:val="0"/>
      <w:u w:val="none"/>
      <w:strike w:val="0"/>
      <w:smallCaps w:val="0"/>
      <w:sz w:val="26"/>
      <w:szCs w:val="26"/>
      <w:rFonts w:ascii="Times New Roman" w:eastAsia="Times New Roman" w:hAnsi="Times New Roman" w:cs="Times New Roman"/>
      <w:spacing w:val="50"/>
    </w:rPr>
  </w:style>
  <w:style w:type="paragraph" w:customStyle="1" w:styleId="Style3">
    <w:name w:val="Основной текст (2)"/>
    <w:basedOn w:val="Normal"/>
    <w:link w:val="CharStyle4"/>
    <w:pPr>
      <w:widowControl w:val="0"/>
      <w:shd w:val="clear" w:color="auto" w:fill="FFFFFF"/>
      <w:jc w:val="center"/>
      <w:spacing w:before="360" w:after="120" w:line="0"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20" w:after="120" w:line="0" w:lineRule="exact"/>
    </w:pPr>
    <w:rPr>
      <w:b w:val="0"/>
      <w:bCs w:val="0"/>
      <w:i w:val="0"/>
      <w:iCs w:val="0"/>
      <w:u w:val="none"/>
      <w:strike w:val="0"/>
      <w:smallCaps w:val="0"/>
      <w:sz w:val="22"/>
      <w:szCs w:val="22"/>
      <w:rFonts w:ascii="Times New Roman" w:eastAsia="Times New Roman" w:hAnsi="Times New Roman" w:cs="Times New Roman"/>
      <w:spacing w:val="10"/>
    </w:rPr>
  </w:style>
  <w:style w:type="paragraph" w:customStyle="1" w:styleId="Style8">
    <w:name w:val="Основной текст (4)"/>
    <w:basedOn w:val="Normal"/>
    <w:link w:val="CharStyle9"/>
    <w:pPr>
      <w:widowControl w:val="0"/>
      <w:shd w:val="clear" w:color="auto" w:fill="FFFFFF"/>
      <w:jc w:val="center"/>
      <w:spacing w:before="180" w:line="221" w:lineRule="exact"/>
    </w:pPr>
    <w:rPr>
      <w:b w:val="0"/>
      <w:bCs w:val="0"/>
      <w:i w:val="0"/>
      <w:iCs w:val="0"/>
      <w:u w:val="none"/>
      <w:strike w:val="0"/>
      <w:smallCaps w:val="0"/>
      <w:sz w:val="16"/>
      <w:szCs w:val="16"/>
      <w:rFonts w:ascii="Times New Roman" w:eastAsia="Times New Roman" w:hAnsi="Times New Roman" w:cs="Times New Roman"/>
      <w:spacing w:val="10"/>
    </w:rPr>
  </w:style>
  <w:style w:type="paragraph" w:customStyle="1" w:styleId="Style10">
    <w:name w:val="Заголовок №1"/>
    <w:basedOn w:val="Normal"/>
    <w:link w:val="CharStyle11"/>
    <w:pPr>
      <w:widowControl w:val="0"/>
      <w:shd w:val="clear" w:color="auto" w:fill="FFFFFF"/>
      <w:outlineLvl w:val="0"/>
      <w:spacing w:before="120" w:after="180" w:line="0" w:lineRule="exact"/>
    </w:pPr>
    <w:rPr>
      <w:b/>
      <w:bCs/>
      <w:i w:val="0"/>
      <w:iCs w:val="0"/>
      <w:u w:val="none"/>
      <w:strike w:val="0"/>
      <w:smallCaps w:val="0"/>
      <w:rFonts w:ascii="Times New Roman" w:eastAsia="Times New Roman" w:hAnsi="Times New Roman" w:cs="Times New Roman"/>
      <w:w w:val="60"/>
    </w:rPr>
  </w:style>
  <w:style w:type="paragraph" w:customStyle="1" w:styleId="Style14">
    <w:name w:val="Основной текст (5)"/>
    <w:basedOn w:val="Normal"/>
    <w:link w:val="CharStyle15"/>
    <w:pPr>
      <w:widowControl w:val="0"/>
      <w:shd w:val="clear" w:color="auto" w:fill="FFFFFF"/>
      <w:spacing w:after="60" w:line="0" w:lineRule="exact"/>
    </w:pPr>
    <w:rPr>
      <w:b/>
      <w:bCs/>
      <w:i w:val="0"/>
      <w:iCs w:val="0"/>
      <w:u w:val="none"/>
      <w:strike w:val="0"/>
      <w:smallCaps w:val="0"/>
      <w:rFonts w:ascii="Times New Roman" w:eastAsia="Times New Roman" w:hAnsi="Times New Roman" w:cs="Times New Roman"/>
    </w:rPr>
  </w:style>
  <w:style w:type="paragraph" w:customStyle="1" w:styleId="Style16">
    <w:name w:val="Основной текст"/>
    <w:basedOn w:val="Normal"/>
    <w:link w:val="CharStyle17"/>
    <w:pPr>
      <w:widowControl w:val="0"/>
      <w:shd w:val="clear" w:color="auto" w:fill="FFFFFF"/>
      <w:spacing w:before="60" w:after="240" w:line="302" w:lineRule="exact"/>
    </w:pPr>
    <w:rPr>
      <w:b w:val="0"/>
      <w:bCs w:val="0"/>
      <w:i w:val="0"/>
      <w:iCs w:val="0"/>
      <w:u w:val="none"/>
      <w:strike w:val="0"/>
      <w:smallCaps w:val="0"/>
      <w:rFonts w:ascii="Times New Roman" w:eastAsia="Times New Roman" w:hAnsi="Times New Roman" w:cs="Times New Roman"/>
    </w:rPr>
  </w:style>
  <w:style w:type="paragraph" w:customStyle="1" w:styleId="Style18">
    <w:name w:val="Основной текст (6)"/>
    <w:basedOn w:val="Normal"/>
    <w:link w:val="CharStyle19"/>
    <w:pPr>
      <w:widowControl w:val="0"/>
      <w:shd w:val="clear" w:color="auto" w:fill="FFFFFF"/>
      <w:jc w:val="right"/>
      <w:spacing w:before="540" w:line="0" w:lineRule="exact"/>
    </w:pPr>
    <w:rPr>
      <w:b/>
      <w:bCs/>
      <w:i w:val="0"/>
      <w:iCs w:val="0"/>
      <w:u w:val="none"/>
      <w:strike w:val="0"/>
      <w:smallCaps w:val="0"/>
      <w:sz w:val="22"/>
      <w:szCs w:val="22"/>
      <w:rFonts w:ascii="Tahoma" w:eastAsia="Tahoma" w:hAnsi="Tahoma" w:cs="Tahoma"/>
    </w:rPr>
  </w:style>
  <w:style w:type="paragraph" w:customStyle="1" w:styleId="Style21">
    <w:name w:val="Основной текст (7)"/>
    <w:basedOn w:val="Normal"/>
    <w:link w:val="CharStyle22"/>
    <w:pPr>
      <w:widowControl w:val="0"/>
      <w:shd w:val="clear" w:color="auto" w:fill="FFFFFF"/>
      <w:spacing w:after="360" w:line="0" w:lineRule="exact"/>
    </w:pPr>
    <w:rPr>
      <w:b w:val="0"/>
      <w:bCs w:val="0"/>
      <w:i w:val="0"/>
      <w:iCs w:val="0"/>
      <w:u w:val="none"/>
      <w:strike w:val="0"/>
      <w:smallCaps w:val="0"/>
      <w:sz w:val="26"/>
      <w:szCs w:val="26"/>
      <w:rFonts w:ascii="Times New Roman" w:eastAsia="Times New Roman" w:hAnsi="Times New Roman" w:cs="Times New Roman"/>
      <w:spacing w:val="5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