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245" w:wrap="around" w:hAnchor="margin" w:x="4708" w:y="1163"/>
        <w:widowControl w:val="0"/>
        <w:keepNext w:val="0"/>
        <w:keepLines w:val="0"/>
        <w:shd w:val="clear" w:color="auto" w:fill="auto"/>
        <w:bidi w:val="0"/>
        <w:jc w:val="left"/>
        <w:spacing w:before="0" w:after="0" w:line="240" w:lineRule="exact"/>
        <w:ind w:left="100" w:right="0" w:firstLine="0"/>
      </w:pPr>
      <w:r>
        <w:rPr>
          <w:rStyle w:val="CharStyle4"/>
          <w:spacing w:val="0"/>
        </w:rPr>
        <w:t>ГБУЗ «ГП № 115 ДЗМ»</w:t>
      </w:r>
    </w:p>
    <w:p>
      <w:pPr>
        <w:pStyle w:val="Style5"/>
        <w:widowControl w:val="0"/>
        <w:keepNext w:val="0"/>
        <w:keepLines w:val="0"/>
        <w:shd w:val="clear" w:color="auto" w:fill="auto"/>
        <w:bidi w:val="0"/>
        <w:spacing w:before="0" w:after="0"/>
        <w:ind w:left="0" w:right="0" w:firstLine="0"/>
        <w:sectPr>
          <w:footnotePr>
            <w:pos w:val="pageBottom"/>
            <w:numFmt w:val="decimal"/>
            <w:numRestart w:val="continuous"/>
          </w:footnotePr>
          <w:type w:val="continuous"/>
          <w:pgSz w:w="11906" w:h="16838"/>
          <w:pgMar w:top="121" w:left="1229" w:right="7503" w:bottom="371" w:header="0" w:footer="3" w:gutter="0"/>
          <w:rtlGutter w:val="0"/>
          <w:cols w:space="720"/>
          <w:noEndnote/>
          <w:docGrid w:linePitch="360"/>
        </w:sectPr>
      </w:pPr>
      <w:r>
        <w:rPr>
          <w:rStyle w:val="CharStyle7"/>
          <w:b/>
          <w:bCs/>
        </w:rPr>
        <w:t>ФЕДЕРАЛЬНАЯ АНТИМОНОПОЛЬНАЯ СЛУЖБА</w:t>
      </w:r>
    </w:p>
    <w:p>
      <w:pPr>
        <w:widowControl w:val="0"/>
        <w:spacing w:line="124" w:lineRule="exact"/>
        <w:rPr>
          <w:sz w:val="10"/>
          <w:szCs w:val="10"/>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framePr w:w="1456" w:h="635" w:wrap="around" w:vAnchor="text" w:hAnchor="margin" w:x="-3887" w:y="57"/>
        <w:widowControl w:val="0"/>
        <w:keepNext w:val="0"/>
        <w:keepLines w:val="0"/>
        <w:shd w:val="clear" w:color="auto" w:fill="auto"/>
        <w:bidi w:val="0"/>
        <w:jc w:val="left"/>
        <w:spacing w:before="0" w:after="260" w:line="170" w:lineRule="exact"/>
        <w:ind w:left="0" w:right="0" w:firstLine="0"/>
      </w:pPr>
      <w:r>
        <w:rPr>
          <w:rStyle w:val="CharStyle9"/>
          <w:b/>
          <w:bCs/>
          <w:spacing w:val="0"/>
        </w:rPr>
        <w:t>УПРАВЛЕ</w:t>
      </w:r>
      <w:r>
        <w:rPr>
          <w:rStyle w:val="CharStyle10"/>
          <w:b/>
          <w:bCs/>
          <w:spacing w:val="0"/>
        </w:rPr>
        <w:t>НИЕ</w:t>
      </w:r>
    </w:p>
    <w:p>
      <w:pPr>
        <w:pStyle w:val="Style5"/>
        <w:framePr w:w="1456" w:h="635" w:wrap="around" w:vAnchor="text" w:hAnchor="margin" w:x="-3887" w:y="57"/>
        <w:widowControl w:val="0"/>
        <w:keepNext w:val="0"/>
        <w:keepLines w:val="0"/>
        <w:shd w:val="clear" w:color="auto" w:fill="auto"/>
        <w:bidi w:val="0"/>
        <w:jc w:val="left"/>
        <w:spacing w:before="0" w:after="0" w:line="170" w:lineRule="exact"/>
        <w:ind w:left="140" w:right="0" w:firstLine="0"/>
      </w:pPr>
      <w:r>
        <w:rPr>
          <w:rStyle w:val="CharStyle9"/>
          <w:b/>
          <w:bCs/>
          <w:spacing w:val="0"/>
        </w:rPr>
        <w:t>по г. Москве</w:t>
      </w:r>
    </w:p>
    <w:p>
      <w:pPr>
        <w:pStyle w:val="Style3"/>
        <w:widowControl w:val="0"/>
        <w:keepNext w:val="0"/>
        <w:keepLines w:val="0"/>
        <w:shd w:val="clear" w:color="auto" w:fill="auto"/>
        <w:bidi w:val="0"/>
        <w:jc w:val="left"/>
        <w:spacing w:before="0" w:after="0" w:line="322" w:lineRule="exact"/>
        <w:ind w:left="20" w:right="400" w:firstLine="0"/>
        <w:sectPr>
          <w:type w:val="continuous"/>
          <w:pgSz w:w="11906" w:h="16838"/>
          <w:pgMar w:top="121" w:left="6034" w:right="1124" w:bottom="371" w:header="0" w:footer="3" w:gutter="0"/>
          <w:rtlGutter w:val="0"/>
          <w:cols w:space="720"/>
          <w:noEndnote/>
          <w:docGrid w:linePitch="360"/>
        </w:sectPr>
      </w:pPr>
      <w:r>
        <w:rPr>
          <w:lang w:val="ru-RU" w:eastAsia="ru-RU" w:bidi="ru-RU"/>
          <w:w w:val="100"/>
          <w:spacing w:val="0"/>
          <w:color w:val="000000"/>
          <w:position w:val="0"/>
        </w:rPr>
        <w:t xml:space="preserve">ул. Демьяна Бедного, д. 8, г. Москва, 123308, </w:t>
      </w:r>
      <w:r>
        <w:fldChar w:fldCharType="begin"/>
      </w:r>
      <w:r>
        <w:rPr>
          <w:color w:val="000000"/>
        </w:rPr>
        <w:instrText> HYPERLINK "mailto:gp115t@mail.ru" </w:instrText>
      </w:r>
      <w:r>
        <w:fldChar w:fldCharType="separate"/>
      </w:r>
      <w:r>
        <w:rPr>
          <w:rStyle w:val="Hyperlink"/>
          <w:lang w:val="en-US" w:eastAsia="en-US" w:bidi="en-US"/>
          <w:w w:val="100"/>
          <w:spacing w:val="0"/>
          <w:position w:val="0"/>
        </w:rPr>
        <w:t>gp115t@mail.ru</w:t>
      </w:r>
      <w:r>
        <w:fldChar w:fldCharType="end"/>
      </w:r>
      <w:r>
        <w:rPr>
          <w:lang w:val="en-US" w:eastAsia="en-US" w:bidi="en-US"/>
          <w:w w:val="100"/>
          <w:spacing w:val="0"/>
          <w:color w:val="000000"/>
          <w:position w:val="0"/>
        </w:rPr>
        <w:t xml:space="preserve">, </w:t>
      </w:r>
      <w:r>
        <w:fldChar w:fldCharType="begin"/>
      </w:r>
      <w:r>
        <w:rPr>
          <w:color w:val="000000"/>
        </w:rPr>
        <w:instrText> HYPERLINK "mailto:AntipovaYO@mos.ru" </w:instrText>
      </w:r>
      <w:r>
        <w:fldChar w:fldCharType="separate"/>
      </w:r>
      <w:r>
        <w:rPr>
          <w:rStyle w:val="Hyperlink"/>
          <w:lang w:val="en-US" w:eastAsia="en-US" w:bidi="en-US"/>
          <w:w w:val="100"/>
          <w:spacing w:val="0"/>
          <w:position w:val="0"/>
        </w:rPr>
        <w:t>AntipovaYO@mos.ru</w:t>
      </w:r>
      <w:r>
        <w:fldChar w:fldCharType="end"/>
      </w:r>
    </w:p>
    <w:p>
      <w:pPr>
        <w:pStyle w:val="Style3"/>
        <w:framePr w:h="254" w:wrap="around" w:vAnchor="text" w:hAnchor="margin" w:x="4987" w:y="347"/>
        <w:widowControl w:val="0"/>
        <w:keepNext w:val="0"/>
        <w:keepLines w:val="0"/>
        <w:shd w:val="clear" w:color="auto" w:fill="auto"/>
        <w:bidi w:val="0"/>
        <w:jc w:val="left"/>
        <w:spacing w:before="0" w:after="0" w:line="240" w:lineRule="exact"/>
        <w:ind w:left="100" w:right="0" w:firstLine="0"/>
      </w:pPr>
      <w:r>
        <w:rPr>
          <w:rStyle w:val="CharStyle4"/>
          <w:spacing w:val="0"/>
        </w:rPr>
        <w:t>ООО «Профтех»</w:t>
      </w:r>
    </w:p>
    <w:p>
      <w:pPr>
        <w:pStyle w:val="Style12"/>
        <w:widowControl w:val="0"/>
        <w:keepNext w:val="0"/>
        <w:keepLines w:val="0"/>
        <w:shd w:val="clear" w:color="auto" w:fill="auto"/>
        <w:bidi w:val="0"/>
        <w:spacing w:before="0" w:after="0"/>
        <w:ind w:left="0" w:right="0" w:firstLine="0"/>
        <w:sectPr>
          <w:type w:val="continuous"/>
          <w:pgSz w:w="11906" w:h="16838"/>
          <w:pgMar w:top="121" w:left="961" w:right="7057" w:bottom="371" w:header="0" w:footer="3" w:gutter="0"/>
          <w:rtlGutter w:val="0"/>
          <w:cols w:space="720"/>
          <w:noEndnote/>
          <w:docGrid w:linePitch="360"/>
        </w:sectPr>
      </w:pPr>
      <w:r>
        <w:rPr>
          <w:rStyle w:val="CharStyle14"/>
        </w:rPr>
        <w:t xml:space="preserve">Мясницкий проезд, д.4, стр. 1 107078, г. Москва, тел. (495) 784-75-05, факс (495) 607-49-29 факс (495) 607-42-92, </w:t>
      </w:r>
      <w:r>
        <w:rPr>
          <w:rStyle w:val="CharStyle15"/>
        </w:rPr>
        <w:t>e-mail: to77@,fas.gov.ru</w:t>
      </w:r>
    </w:p>
    <w:p>
      <w:pPr>
        <w:widowControl w:val="0"/>
        <w:spacing w:line="92" w:lineRule="exact"/>
        <w:rPr>
          <w:sz w:val="7"/>
          <w:szCs w:val="7"/>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6"/>
        <w:framePr w:h="162" w:wrap="around" w:vAnchor="text" w:hAnchor="margin" w:x="-3287" w:y="174"/>
        <w:widowControl w:val="0"/>
        <w:keepNext w:val="0"/>
        <w:keepLines w:val="0"/>
        <w:shd w:val="clear" w:color="auto" w:fill="auto"/>
        <w:bidi w:val="0"/>
        <w:jc w:val="left"/>
        <w:spacing w:before="0" w:after="0" w:line="160" w:lineRule="exact"/>
        <w:ind w:left="0" w:right="0" w:firstLine="0"/>
      </w:pPr>
      <w:r>
        <w:rPr>
          <w:rStyle w:val="CharStyle18"/>
        </w:rPr>
        <w:t>№</w:t>
      </w:r>
    </w:p>
    <w:p>
      <w:pPr>
        <w:pStyle w:val="Style3"/>
        <w:widowControl w:val="0"/>
        <w:keepNext w:val="0"/>
        <w:keepLines w:val="0"/>
        <w:shd w:val="clear" w:color="auto" w:fill="auto"/>
        <w:bidi w:val="0"/>
        <w:jc w:val="left"/>
        <w:spacing w:before="0" w:after="0" w:line="317" w:lineRule="exact"/>
        <w:ind w:left="20" w:right="400" w:firstLine="0"/>
        <w:sectPr>
          <w:type w:val="continuous"/>
          <w:pgSz w:w="11906" w:h="16838"/>
          <w:pgMar w:top="121" w:left="6034" w:right="711" w:bottom="371" w:header="0" w:footer="3" w:gutter="0"/>
          <w:rtlGutter w:val="0"/>
          <w:cols w:space="720"/>
          <w:noEndnote/>
          <w:docGrid w:linePitch="360"/>
        </w:sectPr>
      </w:pPr>
      <w:r>
        <w:rPr>
          <w:lang w:val="ru-RU" w:eastAsia="ru-RU" w:bidi="ru-RU"/>
          <w:w w:val="100"/>
          <w:spacing w:val="0"/>
          <w:color w:val="000000"/>
          <w:position w:val="0"/>
        </w:rPr>
        <w:t xml:space="preserve">ул. Байкальская, д. 1, стр. 8, эт. 1, пом.1, 107497, </w:t>
      </w:r>
      <w:r>
        <w:fldChar w:fldCharType="begin"/>
      </w:r>
      <w:r>
        <w:rPr>
          <w:color w:val="000000"/>
        </w:rPr>
        <w:instrText> HYPERLINK "mailto:prof_tex@inbox.ru" </w:instrText>
      </w:r>
      <w:r>
        <w:fldChar w:fldCharType="separate"/>
      </w:r>
      <w:r>
        <w:rPr>
          <w:rStyle w:val="Hyperlink"/>
          <w:lang w:val="en-US" w:eastAsia="en-US" w:bidi="en-US"/>
          <w:w w:val="100"/>
          <w:spacing w:val="0"/>
          <w:position w:val="0"/>
        </w:rPr>
        <w:t>prof_tex@inbox.ru</w:t>
      </w:r>
      <w:r>
        <w:fldChar w:fldCharType="end"/>
      </w:r>
    </w:p>
    <w:p>
      <w:pPr>
        <w:sectPr>
          <w:type w:val="continuous"/>
          <w:pgSz w:w="11906" w:h="16838"/>
          <w:pgMar w:top="0" w:left="0" w:right="0" w:bottom="0" w:header="0" w:footer="3" w:gutter="0"/>
          <w:rtlGutter w:val="0"/>
          <w:cols w:space="720"/>
          <w:noEndnote/>
          <w:docGrid w:linePitch="360"/>
        </w:sectPr>
      </w:pPr>
    </w:p>
    <w:p>
      <w:pPr>
        <w:pStyle w:val="Style19"/>
        <w:framePr w:h="110" w:wrap="around" w:vAnchor="text" w:hAnchor="margin" w:x="1891" w:y="47"/>
        <w:widowControl w:val="0"/>
        <w:keepNext w:val="0"/>
        <w:keepLines w:val="0"/>
        <w:shd w:val="clear" w:color="auto" w:fill="auto"/>
        <w:bidi w:val="0"/>
        <w:jc w:val="left"/>
        <w:spacing w:before="0" w:after="0" w:line="110" w:lineRule="exact"/>
        <w:ind w:left="100" w:right="0" w:firstLine="0"/>
      </w:pPr>
      <w:r>
        <w:rPr>
          <w:rStyle w:val="CharStyle21"/>
          <w:spacing w:val="0"/>
        </w:rPr>
        <w:t>ОТ</w:t>
      </w:r>
    </w:p>
    <w:p>
      <w:pPr>
        <w:pStyle w:val="Style22"/>
        <w:widowControl w:val="0"/>
        <w:keepNext w:val="0"/>
        <w:keepLines w:val="0"/>
        <w:shd w:val="clear" w:color="auto" w:fill="auto"/>
        <w:bidi w:val="0"/>
        <w:jc w:val="left"/>
        <w:spacing w:before="0" w:after="0" w:line="170" w:lineRule="exact"/>
        <w:ind w:left="0" w:right="0" w:firstLine="0"/>
        <w:sectPr>
          <w:type w:val="continuous"/>
          <w:pgSz w:w="11906" w:h="16838"/>
          <w:pgMar w:top="121" w:left="769" w:right="10499" w:bottom="371" w:header="0" w:footer="3" w:gutter="0"/>
          <w:rtlGutter w:val="0"/>
          <w:cols w:space="720"/>
          <w:noEndnote/>
          <w:docGrid w:linePitch="360"/>
        </w:sectPr>
      </w:pPr>
      <w:r>
        <w:rPr>
          <w:rStyle w:val="CharStyle24"/>
        </w:rPr>
        <w:t>На№</w:t>
      </w:r>
    </w:p>
    <w:p>
      <w:pPr>
        <w:widowControl w:val="0"/>
        <w:spacing w:line="240" w:lineRule="exact"/>
        <w:rPr>
          <w:sz w:val="19"/>
          <w:szCs w:val="19"/>
        </w:rPr>
      </w:pPr>
    </w:p>
    <w:p>
      <w:pPr>
        <w:widowControl w:val="0"/>
        <w:spacing w:before="16" w:after="1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5"/>
        <w:framePr w:h="310" w:wrap="around" w:vAnchor="text" w:hAnchor="margin" w:x="-2202" w:y="1"/>
        <w:widowControl w:val="0"/>
        <w:keepNext w:val="0"/>
        <w:keepLines w:val="0"/>
        <w:shd w:val="clear" w:color="auto" w:fill="auto"/>
        <w:bidi w:val="0"/>
        <w:jc w:val="left"/>
        <w:spacing w:before="0" w:after="0" w:line="280" w:lineRule="exact"/>
        <w:ind w:left="0" w:right="0" w:firstLine="0"/>
      </w:pPr>
      <w:r>
        <w:rPr>
          <w:rStyle w:val="CharStyle27"/>
        </w:rPr>
        <w:t>Г</w:t>
      </w:r>
    </w:p>
    <w:p>
      <w:pPr>
        <w:pStyle w:val="Style28"/>
        <w:widowControl w:val="0"/>
        <w:keepNext w:val="0"/>
        <w:keepLines w:val="0"/>
        <w:shd w:val="clear" w:color="auto" w:fill="auto"/>
        <w:bidi w:val="0"/>
        <w:jc w:val="left"/>
        <w:spacing w:before="0" w:after="334" w:line="380" w:lineRule="exact"/>
        <w:ind w:left="1600" w:right="0" w:firstLine="0"/>
      </w:pPr>
      <w:r>
        <w:rPr>
          <w:rStyle w:val="CharStyle30"/>
        </w:rPr>
        <w:t>П</w:t>
      </w:r>
    </w:p>
    <w:p>
      <w:pPr>
        <w:pStyle w:val="Style31"/>
        <w:widowControl w:val="0"/>
        <w:keepNext w:val="0"/>
        <w:keepLines w:val="0"/>
        <w:shd w:val="clear" w:color="auto" w:fill="auto"/>
        <w:bidi w:val="0"/>
        <w:spacing w:before="0" w:after="0"/>
        <w:ind w:left="0" w:right="0" w:firstLine="0"/>
        <w:sectPr>
          <w:type w:val="continuous"/>
          <w:pgSz w:w="11906" w:h="16838"/>
          <w:pgMar w:top="121" w:left="2962" w:right="2919" w:bottom="371" w:header="0" w:footer="3" w:gutter="0"/>
          <w:rtlGutter w:val="0"/>
          <w:cols w:space="720"/>
          <w:noEndnote/>
          <w:docGrid w:linePitch="360"/>
        </w:sectPr>
      </w:pPr>
      <w:r>
        <w:rPr>
          <w:lang w:val="ru-RU" w:eastAsia="ru-RU" w:bidi="ru-RU"/>
          <w:w w:val="100"/>
          <w:spacing w:val="0"/>
          <w:color w:val="000000"/>
          <w:position w:val="0"/>
        </w:rPr>
        <w:t>РЕШЕНИЕ по делу № 077/06/106-19033/2021 о нарушении законодательства о контрактной системе</w:t>
      </w:r>
    </w:p>
    <w:p>
      <w:pPr>
        <w:widowControl w:val="0"/>
        <w:spacing w:line="41" w:lineRule="exact"/>
        <w:rPr>
          <w:sz w:val="3"/>
          <w:szCs w:val="3"/>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1"/>
        <w:framePr w:h="240" w:wrap="around" w:vAnchor="text" w:hAnchor="margin" w:x="8308" w:y="6"/>
        <w:widowControl w:val="0"/>
        <w:keepNext w:val="0"/>
        <w:keepLines w:val="0"/>
        <w:shd w:val="clear" w:color="auto" w:fill="auto"/>
        <w:bidi w:val="0"/>
        <w:jc w:val="left"/>
        <w:spacing w:before="0" w:after="0" w:line="240" w:lineRule="exact"/>
        <w:ind w:left="100" w:right="0" w:firstLine="0"/>
      </w:pPr>
      <w:r>
        <w:rPr>
          <w:rStyle w:val="CharStyle33"/>
          <w:b/>
          <w:bCs/>
          <w:spacing w:val="0"/>
        </w:rPr>
        <w:t>г. Москва</w:t>
      </w:r>
    </w:p>
    <w:p>
      <w:pPr>
        <w:pStyle w:val="Style31"/>
        <w:widowControl w:val="0"/>
        <w:keepNext w:val="0"/>
        <w:keepLines w:val="0"/>
        <w:shd w:val="clear" w:color="auto" w:fill="auto"/>
        <w:bidi w:val="0"/>
        <w:jc w:val="both"/>
        <w:spacing w:before="0" w:after="0" w:line="260" w:lineRule="exact"/>
        <w:ind w:left="0" w:right="0" w:firstLine="0"/>
      </w:pPr>
      <w:r>
        <w:rPr>
          <w:lang w:val="ru-RU" w:eastAsia="ru-RU" w:bidi="ru-RU"/>
          <w:w w:val="100"/>
          <w:spacing w:val="0"/>
          <w:color w:val="000000"/>
          <w:position w:val="0"/>
        </w:rPr>
        <w:t>26.10.2021</w:t>
      </w:r>
    </w:p>
    <w:p>
      <w:pPr>
        <w:pStyle w:val="Style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Заместителя председателя Комиссии — заместителя начальника отдела обжалования государственных закупок Д.С. Грешневой,</w:t>
      </w:r>
    </w:p>
    <w:p>
      <w:pPr>
        <w:pStyle w:val="Style3"/>
        <w:widowControl w:val="0"/>
        <w:keepNext w:val="0"/>
        <w:keepLines w:val="0"/>
        <w:shd w:val="clear" w:color="auto" w:fill="auto"/>
        <w:bidi w:val="0"/>
        <w:jc w:val="both"/>
        <w:spacing w:before="0" w:after="0" w:line="322" w:lineRule="exact"/>
        <w:ind w:left="0" w:right="0" w:firstLine="700"/>
      </w:pPr>
      <w:r>
        <w:rPr>
          <w:lang w:val="ru-RU" w:eastAsia="ru-RU" w:bidi="ru-RU"/>
          <w:w w:val="100"/>
          <w:spacing w:val="0"/>
          <w:color w:val="000000"/>
          <w:position w:val="0"/>
        </w:rPr>
        <w:t>Членов Комиссии:</w:t>
      </w:r>
    </w:p>
    <w:p>
      <w:pPr>
        <w:pStyle w:val="Style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Специалиста-эксперта отдела обжалования государственных закупок А.А. Матюшенко,</w:t>
      </w:r>
    </w:p>
    <w:p>
      <w:pPr>
        <w:pStyle w:val="Style3"/>
        <w:widowControl w:val="0"/>
        <w:keepNext w:val="0"/>
        <w:keepLines w:val="0"/>
        <w:shd w:val="clear" w:color="auto" w:fill="auto"/>
        <w:bidi w:val="0"/>
        <w:jc w:val="both"/>
        <w:spacing w:before="0" w:after="0" w:line="322" w:lineRule="exact"/>
        <w:ind w:left="0" w:right="0" w:firstLine="700"/>
      </w:pPr>
      <w:r>
        <w:rPr>
          <w:lang w:val="ru-RU" w:eastAsia="ru-RU" w:bidi="ru-RU"/>
          <w:w w:val="100"/>
          <w:spacing w:val="0"/>
          <w:color w:val="000000"/>
          <w:position w:val="0"/>
        </w:rPr>
        <w:t>Главного специалиста-эксперта отдела обжалования государственных закупок</w:t>
      </w:r>
    </w:p>
    <w:p>
      <w:pPr>
        <w:pStyle w:val="Style3"/>
        <w:tabs>
          <w:tab w:leader="none" w:pos="629" w:val="left"/>
        </w:tabs>
        <w:widowControl w:val="0"/>
        <w:keepNext w:val="0"/>
        <w:keepLines w:val="0"/>
        <w:shd w:val="clear" w:color="auto" w:fill="auto"/>
        <w:bidi w:val="0"/>
        <w:jc w:val="both"/>
        <w:spacing w:before="0" w:after="0" w:line="322" w:lineRule="exact"/>
        <w:ind w:left="0" w:right="0" w:firstLine="0"/>
      </w:pPr>
      <w:r>
        <w:rPr>
          <w:lang w:val="ru-RU" w:eastAsia="ru-RU" w:bidi="ru-RU"/>
          <w:w w:val="100"/>
          <w:spacing w:val="0"/>
          <w:color w:val="000000"/>
          <w:position w:val="0"/>
        </w:rPr>
        <w:t>Н.А. Узкого,</w:t>
      </w:r>
    </w:p>
    <w:p>
      <w:pPr>
        <w:pStyle w:val="Style3"/>
        <w:tabs>
          <w:tab w:leader="none" w:pos="600" w:val="left"/>
        </w:tabs>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рассмотрение жалобы проводилось дистанционно (посредством конференц</w:t>
        <w:softHyphen/>
        <w:t>связи) в целях исполнения Указа Мэра Москвы от 25.09.2020 №</w:t>
        <w:tab/>
        <w:t>92-УМ «О внесении изменений в правовые акты города Москвы»</w:t>
      </w:r>
    </w:p>
    <w:p>
      <w:pPr>
        <w:pStyle w:val="Style3"/>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 xml:space="preserve">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представитель ГБУЗ «ГП № 115 ДЗМ»: Макова Т.Л. (дов. № 201 от 27.11.2020) участвовал в заседании Комиссии Управления посредством конференц-связи,</w:t>
      </w:r>
    </w:p>
    <w:p>
      <w:pPr>
        <w:pStyle w:val="Style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в отсутствие представителей ООО «Профтех», о времени и порядке заседания Комиссии Управления уведомлены надлежащим образом письмом Московского УФАС России от 21.10.2021 № ЕИ/64837/21,</w:t>
      </w:r>
    </w:p>
    <w:p>
      <w:pPr>
        <w:pStyle w:val="Style3"/>
        <w:widowControl w:val="0"/>
        <w:keepNext w:val="0"/>
        <w:keepLines w:val="0"/>
        <w:shd w:val="clear" w:color="auto" w:fill="auto"/>
        <w:bidi w:val="0"/>
        <w:jc w:val="both"/>
        <w:spacing w:before="0" w:after="236" w:line="322" w:lineRule="exact"/>
        <w:ind w:left="0" w:right="20" w:firstLine="700"/>
      </w:pPr>
      <w:r>
        <w:rPr>
          <w:lang w:val="ru-RU" w:eastAsia="ru-RU" w:bidi="ru-RU"/>
          <w:w w:val="100"/>
          <w:spacing w:val="0"/>
          <w:color w:val="000000"/>
          <w:position w:val="0"/>
        </w:rPr>
        <w:t>рассмотрев жалобу ООО «Профтех» (далее — Заявитель) на действия ГБУЗ «ГП № 115 ДЗМ» (далее — Заказчик) при проведении электронного аукциона на право заключения государственного контракта на поставку изделий медицинского назначения (перчатки медицинские) для нужд ГБУЗ «ГП № 115 ДЗМ» (Закупка № 0373200581921000063) (далее — Аукцион), в соответствии с Федеральным законом от</w:t>
      </w:r>
    </w:p>
    <w:p>
      <w:pPr>
        <w:pStyle w:val="Style34"/>
        <w:widowControl w:val="0"/>
        <w:keepNext w:val="0"/>
        <w:keepLines w:val="0"/>
        <w:shd w:val="clear" w:color="auto" w:fill="auto"/>
        <w:bidi w:val="0"/>
        <w:jc w:val="left"/>
        <w:spacing w:before="0" w:after="0" w:line="240" w:lineRule="auto"/>
        <w:ind w:left="0" w:right="0" w:firstLine="0"/>
        <w:sectPr>
          <w:type w:val="continuous"/>
          <w:pgSz w:w="11906" w:h="16838"/>
          <w:pgMar w:top="121" w:left="735" w:right="961" w:bottom="371" w:header="0" w:footer="3" w:gutter="0"/>
          <w:rtlGutter w:val="0"/>
          <w:cols w:space="720"/>
          <w:noEndnote/>
          <w:docGrid w:linePitch="360"/>
        </w:sectPr>
      </w:pPr>
      <w:r>
        <w:rPr>
          <w:w w:val="100"/>
          <w:spacing w:val="0"/>
          <w:color w:val="000000"/>
          <w:position w:val="0"/>
        </w:rPr>
        <w:t>001529965977</w:t>
      </w:r>
    </w:p>
    <w:p>
      <w:pPr>
        <w:pStyle w:val="Style3"/>
        <w:widowControl w:val="0"/>
        <w:keepNext w:val="0"/>
        <w:keepLines w:val="0"/>
        <w:shd w:val="clear" w:color="auto" w:fill="auto"/>
        <w:bidi w:val="0"/>
        <w:jc w:val="both"/>
        <w:spacing w:before="0" w:after="349" w:line="322" w:lineRule="exact"/>
        <w:ind w:left="20" w:right="20" w:firstLine="0"/>
      </w:pPr>
      <w:r>
        <w:rPr>
          <w:lang w:val="ru-RU" w:eastAsia="ru-RU" w:bidi="ru-RU"/>
          <w:w w:val="100"/>
          <w:spacing w:val="0"/>
          <w:color w:val="000000"/>
          <w:position w:val="0"/>
        </w:rPr>
        <w:t>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w:t>
      </w:r>
      <w:r>
        <w:rPr>
          <w:rStyle w:val="CharStyle36"/>
        </w:rPr>
        <w:t>ици</w:t>
      </w:r>
      <w:r>
        <w:rPr>
          <w:lang w:val="ru-RU" w:eastAsia="ru-RU" w:bidi="ru-RU"/>
          <w:w w:val="100"/>
          <w:spacing w:val="0"/>
          <w:color w:val="000000"/>
          <w:position w:val="0"/>
        </w:rPr>
        <w:t>пальных нужд, утвержденным приказом ФАС России от 19.11.2014 № 727/14 (далее - Административный регламент),</w:t>
      </w:r>
    </w:p>
    <w:p>
      <w:pPr>
        <w:pStyle w:val="Style37"/>
        <w:widowControl w:val="0"/>
        <w:keepNext/>
        <w:keepLines/>
        <w:shd w:val="clear" w:color="auto" w:fill="auto"/>
        <w:bidi w:val="0"/>
        <w:spacing w:before="0" w:after="304" w:line="260" w:lineRule="exact"/>
        <w:ind w:left="20" w:right="0" w:firstLine="0"/>
      </w:pPr>
      <w:bookmarkStart w:id="0" w:name="bookmark0"/>
      <w:r>
        <w:rPr>
          <w:lang w:val="ru-RU" w:eastAsia="ru-RU" w:bidi="ru-RU"/>
          <w:w w:val="100"/>
          <w:spacing w:val="0"/>
          <w:color w:val="000000"/>
          <w:position w:val="0"/>
        </w:rPr>
        <w:t>УСТАНОВИЛА:</w:t>
      </w:r>
      <w:bookmarkEnd w:id="0"/>
    </w:p>
    <w:p>
      <w:pPr>
        <w:pStyle w:val="Style3"/>
        <w:widowControl w:val="0"/>
        <w:keepNext w:val="0"/>
        <w:keepLines w:val="0"/>
        <w:shd w:val="clear" w:color="auto" w:fill="auto"/>
        <w:bidi w:val="0"/>
        <w:jc w:val="both"/>
        <w:spacing w:before="0" w:after="0" w:line="326" w:lineRule="exact"/>
        <w:ind w:left="20" w:right="20" w:firstLine="68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электронного аукциона.</w:t>
      </w:r>
    </w:p>
    <w:p>
      <w:pPr>
        <w:pStyle w:val="Style3"/>
        <w:widowControl w:val="0"/>
        <w:keepNext w:val="0"/>
        <w:keepLines w:val="0"/>
        <w:shd w:val="clear" w:color="auto" w:fill="auto"/>
        <w:bidi w:val="0"/>
        <w:jc w:val="both"/>
        <w:spacing w:before="0" w:after="0" w:line="326" w:lineRule="exact"/>
        <w:ind w:left="20" w:right="20" w:firstLine="680"/>
      </w:pPr>
      <w:r>
        <w:rPr>
          <w:lang w:val="ru-RU" w:eastAsia="ru-RU" w:bidi="ru-RU"/>
          <w:w w:val="100"/>
          <w:spacing w:val="0"/>
          <w:color w:val="000000"/>
          <w:position w:val="0"/>
        </w:rPr>
        <w:t>Заявитель обжалует действия аукционной комиссии Заказчика, выразившиеся в отказе в допуске Заявителю к участию в вышеуказанном аукционе.</w:t>
      </w:r>
    </w:p>
    <w:p>
      <w:pPr>
        <w:pStyle w:val="Style3"/>
        <w:widowControl w:val="0"/>
        <w:keepNext w:val="0"/>
        <w:keepLines w:val="0"/>
        <w:shd w:val="clear" w:color="auto" w:fill="auto"/>
        <w:bidi w:val="0"/>
        <w:jc w:val="both"/>
        <w:spacing w:before="0" w:after="0" w:line="326" w:lineRule="exact"/>
        <w:ind w:left="20" w:right="20" w:firstLine="680"/>
      </w:pPr>
      <w:r>
        <w:rPr>
          <w:lang w:val="ru-RU" w:eastAsia="ru-RU" w:bidi="ru-RU"/>
          <w:w w:val="100"/>
          <w:spacing w:val="0"/>
          <w:color w:val="000000"/>
          <w:position w:val="0"/>
        </w:rPr>
        <w:t>На заседании Комиссии Управления Заказчиком представлены документы и сведения, запрашиваемые письмом Московского УФАС России № ЕИ/64837/21 от 21.10.2021.</w:t>
      </w:r>
    </w:p>
    <w:p>
      <w:pPr>
        <w:pStyle w:val="Style3"/>
        <w:tabs>
          <w:tab w:leader="none" w:pos="2108" w:val="left"/>
        </w:tabs>
        <w:widowControl w:val="0"/>
        <w:keepNext w:val="0"/>
        <w:keepLines w:val="0"/>
        <w:shd w:val="clear" w:color="auto" w:fill="auto"/>
        <w:bidi w:val="0"/>
        <w:jc w:val="both"/>
        <w:spacing w:before="0" w:after="0" w:line="326" w:lineRule="exact"/>
        <w:ind w:left="20" w:right="20" w:firstLine="680"/>
      </w:pPr>
      <w:r>
        <w:rPr>
          <w:lang w:val="ru-RU" w:eastAsia="ru-RU" w:bidi="ru-RU"/>
          <w:w w:val="100"/>
          <w:spacing w:val="0"/>
          <w:color w:val="000000"/>
          <w:position w:val="0"/>
        </w:rPr>
        <w:t>Согласно протоколу рассмотрения заявок на участие в электронном аукционе от 18.10.2021</w:t>
        <w:tab/>
        <w:t>№0373200581921000063-1 Заявителю, с идентификационным</w:t>
      </w:r>
    </w:p>
    <w:p>
      <w:pPr>
        <w:pStyle w:val="Style3"/>
        <w:widowControl w:val="0"/>
        <w:keepNext w:val="0"/>
        <w:keepLines w:val="0"/>
        <w:shd w:val="clear" w:color="auto" w:fill="auto"/>
        <w:bidi w:val="0"/>
        <w:jc w:val="both"/>
        <w:spacing w:before="0" w:after="0" w:line="326" w:lineRule="exact"/>
        <w:ind w:left="20" w:right="20" w:firstLine="0"/>
      </w:pPr>
      <w:r>
        <w:rPr>
          <w:lang w:val="ru-RU" w:eastAsia="ru-RU" w:bidi="ru-RU"/>
          <w:w w:val="100"/>
          <w:spacing w:val="0"/>
          <w:color w:val="000000"/>
          <w:position w:val="0"/>
        </w:rPr>
        <w:t xml:space="preserve">номером заявки 6, отказано в допуске к участию в аукционе, в том числе, на основании представления недостоверной информации в отношении представленного к поставке товара, а именно: «п. 1 ч. 4 ст. 67 - непредоставление информации, предусмотренной ч. 3 ст. 66 44-ФЗ, или предоставление/установление недостоверной информации предусмотренной ч. 3 ст. 66 44-ФЗ; п. 2. ч. 4 ст. 67 - несоответствие информации, предусмотренной ч. 3 ст. 66 44-ФЗ, требованиям документации о таком аукционе: Отказать в допуске к участию в аукционе на основании п. 1 ч. 4 ст. 67 44-ФЗ, в связи с предоставлением недостоверной информации в позициях 12 и 13 заявки о товарном знаке </w:t>
      </w:r>
      <w:r>
        <w:rPr>
          <w:lang w:val="en-US" w:eastAsia="en-US" w:bidi="en-US"/>
          <w:w w:val="100"/>
          <w:spacing w:val="0"/>
          <w:color w:val="000000"/>
          <w:position w:val="0"/>
        </w:rPr>
        <w:t xml:space="preserve">Gammex, </w:t>
      </w:r>
      <w:r>
        <w:rPr>
          <w:lang w:val="ru-RU" w:eastAsia="ru-RU" w:bidi="ru-RU"/>
          <w:w w:val="100"/>
          <w:spacing w:val="0"/>
          <w:color w:val="000000"/>
          <w:position w:val="0"/>
        </w:rPr>
        <w:t xml:space="preserve">что подтверждается письмом № 2021-0507-001 от 05.07.2021 г. производителя данных перчаток - компании </w:t>
      </w:r>
      <w:r>
        <w:rPr>
          <w:lang w:val="en-US" w:eastAsia="en-US" w:bidi="en-US"/>
          <w:w w:val="100"/>
          <w:spacing w:val="0"/>
          <w:color w:val="000000"/>
          <w:position w:val="0"/>
        </w:rPr>
        <w:t xml:space="preserve">Ansell, </w:t>
      </w:r>
      <w:r>
        <w:rPr>
          <w:lang w:val="ru-RU" w:eastAsia="ru-RU" w:bidi="ru-RU"/>
          <w:w w:val="100"/>
          <w:spacing w:val="0"/>
          <w:color w:val="000000"/>
          <w:position w:val="0"/>
        </w:rPr>
        <w:t>согласно которому, импортируемые ими перчатки на территорию РФ обладают иными индивидуальными товарными знаками».</w:t>
      </w:r>
    </w:p>
    <w:p>
      <w:pPr>
        <w:pStyle w:val="Style3"/>
        <w:widowControl w:val="0"/>
        <w:keepNext w:val="0"/>
        <w:keepLines w:val="0"/>
        <w:shd w:val="clear" w:color="auto" w:fill="auto"/>
        <w:bidi w:val="0"/>
        <w:jc w:val="both"/>
        <w:spacing w:before="0" w:after="0" w:line="326" w:lineRule="exact"/>
        <w:ind w:left="20" w:right="20" w:firstLine="680"/>
      </w:pPr>
      <w:r>
        <w:rPr>
          <w:lang w:val="ru-RU" w:eastAsia="ru-RU" w:bidi="ru-RU"/>
          <w:w w:val="100"/>
          <w:spacing w:val="0"/>
          <w:color w:val="000000"/>
          <w:position w:val="0"/>
        </w:rPr>
        <w:t>В соответствии с п.1 ч.1 ст.64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ст.33 Закона о контрактной системе.</w:t>
      </w:r>
    </w:p>
    <w:p>
      <w:pPr>
        <w:pStyle w:val="Style3"/>
        <w:widowControl w:val="0"/>
        <w:keepNext w:val="0"/>
        <w:keepLines w:val="0"/>
        <w:shd w:val="clear" w:color="auto" w:fill="auto"/>
        <w:bidi w:val="0"/>
        <w:jc w:val="both"/>
        <w:spacing w:before="0" w:after="0" w:line="326" w:lineRule="exact"/>
        <w:ind w:left="20" w:right="20" w:firstLine="680"/>
      </w:pPr>
      <w:r>
        <w:rPr>
          <w:lang w:val="ru-RU" w:eastAsia="ru-RU" w:bidi="ru-RU"/>
          <w:w w:val="100"/>
          <w:spacing w:val="0"/>
          <w:color w:val="000000"/>
          <w:position w:val="0"/>
        </w:rPr>
        <w:t>В соответствии п.2 ч.1 ст.64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ч.3-6 ст.66 Закона о контрактной системе и инструкцию по ее заполнению.</w:t>
      </w:r>
    </w:p>
    <w:p>
      <w:pPr>
        <w:pStyle w:val="Style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В соответствии с п.1 ч.1 ст.33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В силу ч.2 ст.33 Закона о контрактной системе документация о закупке в соответствии с требованиями, указанными в ч.1 ст.33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 xml:space="preserve">Техническим заданием аукционной документации установлены требования к характеристикам необходимых товаров, например по позиции 13 «Перчатки хирургические из полихлорпрена, неопудренные (для индикации повреждения) (Размер 7% </w:t>
      </w:r>
      <w:r>
        <w:rPr>
          <w:lang w:val="en-US" w:eastAsia="en-US" w:bidi="en-US"/>
          <w:w w:val="100"/>
          <w:spacing w:val="0"/>
          <w:color w:val="000000"/>
          <w:position w:val="0"/>
        </w:rPr>
        <w:t>(M))».</w:t>
      </w:r>
    </w:p>
    <w:p>
      <w:pPr>
        <w:pStyle w:val="Style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Согласно п.2 ч.3 ст.66 Закона о контрактной системе первая часть заявки на участие в электронном аукционе, за исключением случая, предусмотренного частью 3.1 статьи 66 Закона о контрактной системе, при осуществлении закупки товара, в том числе поставляемого заказчику при выполнении закупаемых работ, оказании закупаемых услуг должна содержать наименование страны происхождения товара,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 xml:space="preserve">Комиссией Управления установлено, что в составе первой части заявки на участие в аукционе участник закупки выразил согласие на поставку товара на условиях аукционной документации, а также представил сведения о товарах, в том числе по позиции 13 «Перчатки хирургические из полихлорпрена, неопудренные (для индикации повреждения) (Размер 7% </w:t>
      </w:r>
      <w:r>
        <w:rPr>
          <w:lang w:val="en-US" w:eastAsia="en-US" w:bidi="en-US"/>
          <w:w w:val="100"/>
          <w:spacing w:val="0"/>
          <w:color w:val="000000"/>
          <w:position w:val="0"/>
        </w:rPr>
        <w:t xml:space="preserve">(M))» </w:t>
      </w:r>
      <w:r>
        <w:rPr>
          <w:lang w:val="ru-RU" w:eastAsia="ru-RU" w:bidi="ru-RU"/>
          <w:w w:val="100"/>
          <w:spacing w:val="0"/>
          <w:color w:val="000000"/>
          <w:position w:val="0"/>
        </w:rPr>
        <w:t xml:space="preserve">представлены, в частности, следующие сведения: Указание на товарный знак: </w:t>
      </w:r>
      <w:r>
        <w:rPr>
          <w:lang w:val="en-US" w:eastAsia="en-US" w:bidi="en-US"/>
          <w:w w:val="100"/>
          <w:spacing w:val="0"/>
          <w:color w:val="000000"/>
          <w:position w:val="0"/>
        </w:rPr>
        <w:t xml:space="preserve">«Gammex®», </w:t>
      </w:r>
      <w:r>
        <w:rPr>
          <w:lang w:val="ru-RU" w:eastAsia="ru-RU" w:bidi="ru-RU"/>
          <w:w w:val="100"/>
          <w:spacing w:val="0"/>
          <w:color w:val="000000"/>
          <w:position w:val="0"/>
        </w:rPr>
        <w:t>«Производитель: Анселл Хелскеа Юроп Н.В.», «Страна происхождения: Малайзия».</w:t>
      </w:r>
    </w:p>
    <w:p>
      <w:pPr>
        <w:pStyle w:val="Style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В силу ч.1 ст.67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 3 ст. 66 Закона о контрактной системе, на соответствие требованиям, установленным документацией о таком аукционе в отношении закупаемых товаров, работ, услуг.</w:t>
      </w:r>
    </w:p>
    <w:p>
      <w:pPr>
        <w:pStyle w:val="Style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 xml:space="preserve">В жалобе Заявитель указывает, что в составе заявки на участие в аукционе указаны достоверные сведения о товаре, в том числе в отношении товарного знака представляемого товара. Так в составе жалобы, например, указано, что представленное по п.13 медицинское изделие обладает товарным знаком </w:t>
      </w:r>
      <w:r>
        <w:rPr>
          <w:lang w:val="en-US" w:eastAsia="en-US" w:bidi="en-US"/>
          <w:w w:val="100"/>
          <w:spacing w:val="0"/>
          <w:color w:val="000000"/>
          <w:position w:val="0"/>
        </w:rPr>
        <w:t xml:space="preserve">«Gammex®», </w:t>
      </w:r>
      <w:r>
        <w:rPr>
          <w:lang w:val="ru-RU" w:eastAsia="ru-RU" w:bidi="ru-RU"/>
          <w:w w:val="100"/>
          <w:spacing w:val="0"/>
          <w:color w:val="000000"/>
          <w:position w:val="0"/>
        </w:rPr>
        <w:t xml:space="preserve">в подтверждение своей позиции Заявителем в составе жалобы приложены изображения страниц веб-сайта производителя товара исходя из которых Заявителем к поставке по п.13 предлагается медицинское изделие с обозначением </w:t>
      </w:r>
      <w:r>
        <w:rPr>
          <w:lang w:val="en-US" w:eastAsia="en-US" w:bidi="en-US"/>
          <w:w w:val="100"/>
          <w:spacing w:val="0"/>
          <w:color w:val="000000"/>
          <w:position w:val="0"/>
        </w:rPr>
        <w:t>«Gammex® Non-Latex».</w:t>
      </w:r>
    </w:p>
    <w:p>
      <w:pPr>
        <w:pStyle w:val="Style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В соответствии с ч.2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 xml:space="preserve">На заседании Комиссии Управления представитель Заказчика пояснил, что Заявителем в составе заявки на участие в аукционе представлена недостоверная информация относительно товарного знака предлагаемого к поставке товара, например по п.13 Заявителем указан товарный знак </w:t>
      </w:r>
      <w:r>
        <w:rPr>
          <w:lang w:val="en-US" w:eastAsia="en-US" w:bidi="en-US"/>
          <w:w w:val="100"/>
          <w:spacing w:val="0"/>
          <w:color w:val="000000"/>
          <w:position w:val="0"/>
        </w:rPr>
        <w:t xml:space="preserve">«Gammex®», </w:t>
      </w:r>
      <w:r>
        <w:rPr>
          <w:lang w:val="ru-RU" w:eastAsia="ru-RU" w:bidi="ru-RU"/>
          <w:w w:val="100"/>
          <w:spacing w:val="0"/>
          <w:color w:val="000000"/>
          <w:position w:val="0"/>
        </w:rPr>
        <w:t xml:space="preserve">в то время как указанный товар обладает товарным знаком </w:t>
      </w:r>
      <w:r>
        <w:rPr>
          <w:lang w:val="en-US" w:eastAsia="en-US" w:bidi="en-US"/>
          <w:w w:val="100"/>
          <w:spacing w:val="0"/>
          <w:color w:val="000000"/>
          <w:position w:val="0"/>
        </w:rPr>
        <w:t>«Gammex® Non-Latex».</w:t>
      </w:r>
    </w:p>
    <w:p>
      <w:pPr>
        <w:pStyle w:val="Style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 xml:space="preserve">В подтверждение своей позиции представитель Заказчика представил письмо представителя производителя на территории Российской Федерации ООО «Анселл РУС» от 25.10.2021г. № 2021-2510-001 в составе которого однозначно указано, что медицинское изделие с регистрационным удостоверением № РЗН 2018/6704 от 22.01.2018 обладает следующим товарным знаком </w:t>
      </w:r>
      <w:r>
        <w:rPr>
          <w:lang w:val="en-US" w:eastAsia="en-US" w:bidi="en-US"/>
          <w:w w:val="100"/>
          <w:spacing w:val="0"/>
          <w:color w:val="000000"/>
          <w:position w:val="0"/>
        </w:rPr>
        <w:t>«Gammex® Non-Latex».</w:t>
      </w:r>
    </w:p>
    <w:p>
      <w:pPr>
        <w:pStyle w:val="Style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 xml:space="preserve">Вместе с этим Комиссией Управления установлено, что в предложении участника закупки также содержится регистрационное удостоверение № РЗН 2018/6704 от 22.01.2018, при этом в составе заявки участника продекларировано указание исключительно на товарный знак </w:t>
      </w:r>
      <w:r>
        <w:rPr>
          <w:lang w:val="en-US" w:eastAsia="en-US" w:bidi="en-US"/>
          <w:w w:val="100"/>
          <w:spacing w:val="0"/>
          <w:color w:val="000000"/>
          <w:position w:val="0"/>
        </w:rPr>
        <w:t xml:space="preserve">«Gammex®», </w:t>
      </w:r>
      <w:r>
        <w:rPr>
          <w:lang w:val="ru-RU" w:eastAsia="ru-RU" w:bidi="ru-RU"/>
          <w:w w:val="100"/>
          <w:spacing w:val="0"/>
          <w:color w:val="000000"/>
          <w:position w:val="0"/>
        </w:rPr>
        <w:t>в то время как, согласно письму представителю производителя на территории Российской Федерации ООО «Анселл РУС», медицинские изделия производимые под данным регистрационным удостоверением обладают иным товарным знаком.</w:t>
      </w:r>
    </w:p>
    <w:p>
      <w:pPr>
        <w:pStyle w:val="Style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Согласно ч. 9 ст.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В силу вышеуказанной нормы обязанность доказывания нарушения Заказчиком своих прав и законных интересов лежит на подателе жалобы, однако, на заседание Комиссии Управления Заявитель не явился, а также в составе жалобы Заявителем не представлено документов и сведений, подтверждающих тот факт, что представленные к поставке товары обладают товарными знаками обозначенными в предложении Заявителя, ввиду чего у Комиссии Управления отсутствуют правовые основания считать аукционную комиссию Заказчика нарушившей положения Закона о контрактной системе.</w:t>
      </w:r>
    </w:p>
    <w:p>
      <w:pPr>
        <w:pStyle w:val="Style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В соответствии ч.4 ст. 67 Закона о контрактной системе участник электронного аукциона не допускается к участию в нем в случае:</w:t>
      </w:r>
    </w:p>
    <w:p>
      <w:pPr>
        <w:pStyle w:val="Style3"/>
        <w:numPr>
          <w:ilvl w:val="0"/>
          <w:numId w:val="1"/>
        </w:numPr>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 xml:space="preserve"> непредставления информации, предусмотренной ч.3 ст. 66 Закона о контрактной системе, или предоставления недостоверной информации;</w:t>
      </w:r>
    </w:p>
    <w:p>
      <w:pPr>
        <w:pStyle w:val="Style3"/>
        <w:numPr>
          <w:ilvl w:val="0"/>
          <w:numId w:val="1"/>
        </w:numPr>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 xml:space="preserve"> несоответствия информации, предусмотренной ч.3 ст. 66 Закона о контрактной системе, требованиям документации о таком аукционе.</w:t>
      </w:r>
    </w:p>
    <w:p>
      <w:pPr>
        <w:pStyle w:val="Style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В соответствие с ч.5 ст.67 Закона о контрактной системе отказ в допуске к участию в электронном аукционе по основаниям, не предусмотренным ч.4 ст. 67 Закона о контрактной системе, не допускается.</w:t>
      </w:r>
    </w:p>
    <w:p>
      <w:pPr>
        <w:pStyle w:val="Style3"/>
        <w:widowControl w:val="0"/>
        <w:keepNext w:val="0"/>
        <w:keepLines w:val="0"/>
        <w:shd w:val="clear" w:color="auto" w:fill="auto"/>
        <w:bidi w:val="0"/>
        <w:jc w:val="both"/>
        <w:spacing w:before="0" w:after="0" w:line="322" w:lineRule="exact"/>
        <w:ind w:left="0" w:right="0" w:firstLine="700"/>
        <w:sectPr>
          <w:pgSz w:w="11906" w:h="16838"/>
          <w:pgMar w:top="1262" w:left="848" w:right="848" w:bottom="1132" w:header="0" w:footer="3" w:gutter="0"/>
          <w:rtlGutter w:val="0"/>
          <w:cols w:space="720"/>
          <w:noEndnote/>
          <w:docGrid w:linePitch="360"/>
        </w:sectPr>
      </w:pPr>
      <w:r>
        <w:rPr>
          <w:lang w:val="ru-RU" w:eastAsia="ru-RU" w:bidi="ru-RU"/>
          <w:w w:val="100"/>
          <w:spacing w:val="0"/>
          <w:color w:val="000000"/>
          <w:position w:val="0"/>
        </w:rPr>
        <w:t>Таким образом, Комиссия Управления приходит к выводу, что</w:t>
      </w:r>
    </w:p>
    <w:p>
      <w:pPr>
        <w:pStyle w:val="Style3"/>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у аукционной комиссии Заказчика имелись основания для отказа в допуске Заявителю к участию в аукционе, и решение аукционной комиссии Заказчика в части отказа в допуске Заявителю к участию в аукционе является правомерным.</w:t>
      </w:r>
    </w:p>
    <w:p>
      <w:pPr>
        <w:pStyle w:val="Style3"/>
        <w:widowControl w:val="0"/>
        <w:keepNext w:val="0"/>
        <w:keepLines w:val="0"/>
        <w:shd w:val="clear" w:color="auto" w:fill="auto"/>
        <w:bidi w:val="0"/>
        <w:jc w:val="both"/>
        <w:spacing w:before="0" w:after="349" w:line="322" w:lineRule="exact"/>
        <w:ind w:left="0" w:right="20" w:firstLine="700"/>
      </w:pPr>
      <w:r>
        <w:rPr>
          <w:lang w:val="ru-RU" w:eastAsia="ru-RU" w:bidi="ru-RU"/>
          <w:w w:val="100"/>
          <w:spacing w:val="0"/>
          <w:color w:val="000000"/>
          <w:position w:val="0"/>
        </w:rPr>
        <w:t>Исследовав представленные материалы, руководствуясь Административным регламентом и Законом о контрактной системе, Комиссия Управления</w:t>
      </w:r>
    </w:p>
    <w:p>
      <w:pPr>
        <w:pStyle w:val="Style37"/>
        <w:widowControl w:val="0"/>
        <w:keepNext/>
        <w:keepLines/>
        <w:shd w:val="clear" w:color="auto" w:fill="auto"/>
        <w:bidi w:val="0"/>
        <w:spacing w:before="0" w:after="308" w:line="260" w:lineRule="exact"/>
        <w:ind w:left="20" w:right="0" w:firstLine="0"/>
      </w:pPr>
      <w:bookmarkStart w:id="1" w:name="bookmark1"/>
      <w:r>
        <w:rPr>
          <w:lang w:val="ru-RU" w:eastAsia="ru-RU" w:bidi="ru-RU"/>
          <w:w w:val="100"/>
          <w:spacing w:val="0"/>
          <w:color w:val="000000"/>
          <w:position w:val="0"/>
        </w:rPr>
        <w:t>Р Е Ш И Л А:</w:t>
      </w:r>
      <w:bookmarkEnd w:id="1"/>
    </w:p>
    <w:p>
      <w:pPr>
        <w:pStyle w:val="Style3"/>
        <w:numPr>
          <w:ilvl w:val="0"/>
          <w:numId w:val="3"/>
        </w:numPr>
        <w:tabs>
          <w:tab w:leader="none" w:pos="1416" w:val="left"/>
        </w:tabs>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Признать жалобу ООО «Профтех» на действия аукционной комиссии ГБУЗ «ГП № 115 ДЗМ» необоснованной.</w:t>
      </w:r>
    </w:p>
    <w:p>
      <w:pPr>
        <w:pStyle w:val="Style3"/>
        <w:numPr>
          <w:ilvl w:val="0"/>
          <w:numId w:val="1"/>
        </w:numPr>
        <w:tabs>
          <w:tab w:leader="none" w:pos="1098" w:val="left"/>
        </w:tabs>
        <w:widowControl w:val="0"/>
        <w:keepNext w:val="0"/>
        <w:keepLines w:val="0"/>
        <w:shd w:val="clear" w:color="auto" w:fill="auto"/>
        <w:bidi w:val="0"/>
        <w:jc w:val="both"/>
        <w:spacing w:before="0" w:after="300" w:line="322" w:lineRule="exact"/>
        <w:ind w:left="0" w:right="20" w:firstLine="700"/>
      </w:pPr>
      <w:r>
        <w:rPr>
          <w:lang w:val="ru-RU" w:eastAsia="ru-RU" w:bidi="ru-RU"/>
          <w:w w:val="100"/>
          <w:spacing w:val="0"/>
          <w:color w:val="000000"/>
          <w:position w:val="0"/>
        </w:rPr>
        <w:t>Снять ограничения на определение поставщика, наложенные письмом Московского УФАС России № ЕИ/64837/21 от 21.10.2021.</w:t>
      </w:r>
    </w:p>
    <w:p>
      <w:pPr>
        <w:pStyle w:val="Style3"/>
        <w:widowControl w:val="0"/>
        <w:keepNext w:val="0"/>
        <w:keepLines w:val="0"/>
        <w:shd w:val="clear" w:color="auto" w:fill="auto"/>
        <w:bidi w:val="0"/>
        <w:jc w:val="both"/>
        <w:spacing w:before="0" w:after="47" w:line="322" w:lineRule="exact"/>
        <w:ind w:left="0" w:right="20" w:firstLine="70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установленным гл. 24 АПК РФ.</w:t>
      </w:r>
    </w:p>
    <w:p>
      <w:pPr>
        <w:pStyle w:val="Style3"/>
        <w:tabs>
          <w:tab w:leader="none" w:pos="8654" w:val="center"/>
          <w:tab w:leader="none" w:pos="10133" w:val="right"/>
        </w:tabs>
        <w:widowControl w:val="0"/>
        <w:keepNext w:val="0"/>
        <w:keepLines w:val="0"/>
        <w:shd w:val="clear" w:color="auto" w:fill="auto"/>
        <w:bidi w:val="0"/>
        <w:jc w:val="both"/>
        <w:spacing w:before="0" w:after="0" w:line="638" w:lineRule="exact"/>
        <w:ind w:left="0" w:right="0" w:firstLine="0"/>
      </w:pPr>
      <w:r>
        <w:rPr>
          <w:lang w:val="ru-RU" w:eastAsia="ru-RU" w:bidi="ru-RU"/>
          <w:w w:val="100"/>
          <w:spacing w:val="0"/>
          <w:color w:val="000000"/>
          <w:position w:val="0"/>
        </w:rPr>
        <w:t>Заместитель председателя Комиссии</w:t>
        <w:tab/>
        <w:t>Д.С.</w:t>
        <w:tab/>
        <w:t>Грешнева</w:t>
      </w:r>
    </w:p>
    <w:p>
      <w:pPr>
        <w:pStyle w:val="Style3"/>
        <w:tabs>
          <w:tab w:leader="none" w:pos="8832" w:val="left"/>
        </w:tabs>
        <w:widowControl w:val="0"/>
        <w:keepNext w:val="0"/>
        <w:keepLines w:val="0"/>
        <w:shd w:val="clear" w:color="auto" w:fill="auto"/>
        <w:bidi w:val="0"/>
        <w:jc w:val="both"/>
        <w:spacing w:before="0" w:after="0" w:line="638" w:lineRule="exact"/>
        <w:ind w:left="0" w:right="0" w:firstLine="0"/>
      </w:pPr>
      <w:r>
        <w:rPr>
          <w:lang w:val="ru-RU" w:eastAsia="ru-RU" w:bidi="ru-RU"/>
          <w:w w:val="100"/>
          <w:spacing w:val="0"/>
          <w:color w:val="000000"/>
          <w:position w:val="0"/>
        </w:rPr>
        <w:t>Члены Комиссии:</w:t>
        <w:tab/>
        <w:t>Н.А. Узкий</w:t>
      </w:r>
    </w:p>
    <w:p>
      <w:pPr>
        <w:pStyle w:val="Style3"/>
        <w:widowControl w:val="0"/>
        <w:keepNext w:val="0"/>
        <w:keepLines w:val="0"/>
        <w:shd w:val="clear" w:color="auto" w:fill="auto"/>
        <w:bidi w:val="0"/>
        <w:jc w:val="right"/>
        <w:spacing w:before="0" w:after="5798" w:line="638" w:lineRule="exact"/>
        <w:ind w:left="0" w:right="20" w:firstLine="0"/>
      </w:pPr>
      <w:r>
        <w:rPr>
          <w:lang w:val="ru-RU" w:eastAsia="ru-RU" w:bidi="ru-RU"/>
          <w:w w:val="100"/>
          <w:spacing w:val="0"/>
          <w:color w:val="000000"/>
          <w:position w:val="0"/>
        </w:rPr>
        <w:t>А.А. Матюшенко</w:t>
      </w:r>
    </w:p>
    <w:p>
      <w:pPr>
        <w:pStyle w:val="Style39"/>
        <w:widowControl w:val="0"/>
        <w:keepNext w:val="0"/>
        <w:keepLines w:val="0"/>
        <w:shd w:val="clear" w:color="auto" w:fill="auto"/>
        <w:bidi w:val="0"/>
        <w:jc w:val="left"/>
        <w:spacing w:before="0" w:after="0"/>
        <w:ind w:left="0" w:right="6360" w:firstLine="0"/>
      </w:pPr>
      <w:r>
        <w:rPr>
          <w:lang w:val="ru-RU" w:eastAsia="ru-RU" w:bidi="ru-RU"/>
          <w:w w:val="100"/>
          <w:spacing w:val="0"/>
          <w:color w:val="000000"/>
          <w:position w:val="0"/>
        </w:rPr>
        <w:t>Исп. Матюшенко А.А., 8(495) 784-75-05 2021-72402</w:t>
      </w:r>
    </w:p>
    <w:sectPr>
      <w:type w:val="continuous"/>
      <w:pgSz w:w="11906" w:h="16838"/>
      <w:pgMar w:top="885" w:left="853" w:right="853" w:bottom="37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rFonts w:ascii="Times New Roman" w:eastAsia="Times New Roman" w:hAnsi="Times New Roman" w:cs="Times New Roman"/>
      <w:spacing w:val="2"/>
    </w:rPr>
  </w:style>
  <w:style w:type="character" w:customStyle="1" w:styleId="CharStyle6">
    <w:name w:val="Основной текст (2)_"/>
    <w:basedOn w:val="DefaultParagraphFont"/>
    <w:link w:val="Style5"/>
    <w:rPr>
      <w:b/>
      <w:bCs/>
      <w:i w:val="0"/>
      <w:iCs w:val="0"/>
      <w:u w:val="none"/>
      <w:strike w:val="0"/>
      <w:smallCaps w:val="0"/>
      <w:sz w:val="18"/>
      <w:szCs w:val="18"/>
      <w:rFonts w:ascii="Times New Roman" w:eastAsia="Times New Roman" w:hAnsi="Times New Roman" w:cs="Times New Roman"/>
    </w:rPr>
  </w:style>
  <w:style w:type="character" w:customStyle="1" w:styleId="CharStyle7">
    <w:name w:val="Основной текст (2)"/>
    <w:basedOn w:val="CharStyle6"/>
    <w:rPr>
      <w:lang w:val="ru-RU" w:eastAsia="ru-RU" w:bidi="ru-RU"/>
      <w:w w:val="100"/>
      <w:spacing w:val="0"/>
      <w:color w:val="000000"/>
      <w:position w:val="0"/>
    </w:rPr>
  </w:style>
  <w:style w:type="character" w:customStyle="1" w:styleId="CharStyle8">
    <w:name w:val="Основной текст (2) Exact"/>
    <w:basedOn w:val="DefaultParagraphFont"/>
    <w:rPr>
      <w:b/>
      <w:bCs/>
      <w:i w:val="0"/>
      <w:iCs w:val="0"/>
      <w:u w:val="none"/>
      <w:strike w:val="0"/>
      <w:smallCaps w:val="0"/>
      <w:sz w:val="17"/>
      <w:szCs w:val="17"/>
      <w:rFonts w:ascii="Times New Roman" w:eastAsia="Times New Roman" w:hAnsi="Times New Roman" w:cs="Times New Roman"/>
      <w:spacing w:val="2"/>
    </w:rPr>
  </w:style>
  <w:style w:type="character" w:customStyle="1" w:styleId="CharStyle9">
    <w:name w:val="Основной текст (2) Exact"/>
    <w:basedOn w:val="CharStyle6"/>
    <w:rPr>
      <w:lang w:val="ru-RU" w:eastAsia="ru-RU" w:bidi="ru-RU"/>
      <w:sz w:val="17"/>
      <w:szCs w:val="17"/>
      <w:w w:val="100"/>
      <w:spacing w:val="2"/>
      <w:color w:val="000000"/>
      <w:position w:val="0"/>
    </w:rPr>
  </w:style>
  <w:style w:type="character" w:customStyle="1" w:styleId="CharStyle10">
    <w:name w:val="Основной текст (2) Exact"/>
    <w:basedOn w:val="CharStyle6"/>
    <w:rPr>
      <w:lang w:val="ru-RU" w:eastAsia="ru-RU" w:bidi="ru-RU"/>
      <w:u w:val="single"/>
      <w:sz w:val="17"/>
      <w:szCs w:val="17"/>
      <w:w w:val="100"/>
      <w:spacing w:val="2"/>
      <w:color w:val="000000"/>
      <w:position w:val="0"/>
    </w:rPr>
  </w:style>
  <w:style w:type="character" w:customStyle="1" w:styleId="CharStyle11">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3)_"/>
    <w:basedOn w:val="DefaultParagraphFont"/>
    <w:link w:val="Style12"/>
    <w:rPr>
      <w:b w:val="0"/>
      <w:bCs w:val="0"/>
      <w:i w:val="0"/>
      <w:iCs w:val="0"/>
      <w:u w:val="none"/>
      <w:strike w:val="0"/>
      <w:smallCaps w:val="0"/>
      <w:sz w:val="18"/>
      <w:szCs w:val="18"/>
      <w:rFonts w:ascii="Times New Roman" w:eastAsia="Times New Roman" w:hAnsi="Times New Roman" w:cs="Times New Roman"/>
    </w:rPr>
  </w:style>
  <w:style w:type="character" w:customStyle="1" w:styleId="CharStyle14">
    <w:name w:val="Основной текст (3)"/>
    <w:basedOn w:val="CharStyle13"/>
    <w:rPr>
      <w:lang w:val="ru-RU" w:eastAsia="ru-RU" w:bidi="ru-RU"/>
      <w:w w:val="100"/>
      <w:spacing w:val="0"/>
      <w:color w:val="000000"/>
      <w:position w:val="0"/>
    </w:rPr>
  </w:style>
  <w:style w:type="character" w:customStyle="1" w:styleId="CharStyle15">
    <w:name w:val="Основной текст (3)"/>
    <w:basedOn w:val="CharStyle13"/>
    <w:rPr>
      <w:lang w:val="en-US" w:eastAsia="en-US" w:bidi="en-US"/>
      <w:u w:val="single"/>
      <w:w w:val="100"/>
      <w:spacing w:val="0"/>
      <w:color w:val="000000"/>
      <w:position w:val="0"/>
    </w:rPr>
  </w:style>
  <w:style w:type="character" w:customStyle="1" w:styleId="CharStyle17">
    <w:name w:val="Основной текст (4) Exact"/>
    <w:basedOn w:val="DefaultParagraphFont"/>
    <w:link w:val="Style16"/>
    <w:rPr>
      <w:b w:val="0"/>
      <w:bCs w:val="0"/>
      <w:i w:val="0"/>
      <w:iCs w:val="0"/>
      <w:u w:val="none"/>
      <w:strike w:val="0"/>
      <w:smallCaps w:val="0"/>
      <w:sz w:val="16"/>
      <w:szCs w:val="16"/>
      <w:rFonts w:ascii="Tahoma" w:eastAsia="Tahoma" w:hAnsi="Tahoma" w:cs="Tahoma"/>
    </w:rPr>
  </w:style>
  <w:style w:type="character" w:customStyle="1" w:styleId="CharStyle18">
    <w:name w:val="Основной текст (4) Exact"/>
    <w:basedOn w:val="CharStyle17"/>
    <w:rPr>
      <w:lang w:val="ru-RU" w:eastAsia="ru-RU" w:bidi="ru-RU"/>
      <w:w w:val="100"/>
      <w:spacing w:val="0"/>
      <w:color w:val="000000"/>
      <w:position w:val="0"/>
    </w:rPr>
  </w:style>
  <w:style w:type="character" w:customStyle="1" w:styleId="CharStyle20">
    <w:name w:val="Основной текст (6) Exact"/>
    <w:basedOn w:val="DefaultParagraphFont"/>
    <w:link w:val="Style19"/>
    <w:rPr>
      <w:b w:val="0"/>
      <w:bCs w:val="0"/>
      <w:i w:val="0"/>
      <w:iCs w:val="0"/>
      <w:u w:val="none"/>
      <w:strike w:val="0"/>
      <w:smallCaps w:val="0"/>
      <w:sz w:val="11"/>
      <w:szCs w:val="11"/>
      <w:rFonts w:ascii="Times New Roman" w:eastAsia="Times New Roman" w:hAnsi="Times New Roman" w:cs="Times New Roman"/>
      <w:w w:val="150"/>
      <w:spacing w:val="-7"/>
    </w:rPr>
  </w:style>
  <w:style w:type="character" w:customStyle="1" w:styleId="CharStyle21">
    <w:name w:val="Основной текст (6) Exact"/>
    <w:basedOn w:val="CharStyle20"/>
    <w:rPr>
      <w:lang w:val="ru-RU" w:eastAsia="ru-RU" w:bidi="ru-RU"/>
      <w:color w:val="000000"/>
      <w:position w:val="0"/>
    </w:rPr>
  </w:style>
  <w:style w:type="character" w:customStyle="1" w:styleId="CharStyle23">
    <w:name w:val="Основной текст (5)_"/>
    <w:basedOn w:val="DefaultParagraphFont"/>
    <w:link w:val="Style22"/>
    <w:rPr>
      <w:b w:val="0"/>
      <w:bCs w:val="0"/>
      <w:i w:val="0"/>
      <w:iCs w:val="0"/>
      <w:u w:val="none"/>
      <w:strike w:val="0"/>
      <w:smallCaps w:val="0"/>
      <w:sz w:val="17"/>
      <w:szCs w:val="17"/>
      <w:rFonts w:ascii="Times New Roman" w:eastAsia="Times New Roman" w:hAnsi="Times New Roman" w:cs="Times New Roman"/>
      <w:spacing w:val="20"/>
    </w:rPr>
  </w:style>
  <w:style w:type="character" w:customStyle="1" w:styleId="CharStyle24">
    <w:name w:val="Основной текст (5)"/>
    <w:basedOn w:val="CharStyle23"/>
    <w:rPr>
      <w:lang w:val="ru-RU" w:eastAsia="ru-RU" w:bidi="ru-RU"/>
      <w:w w:val="100"/>
      <w:color w:val="000000"/>
      <w:position w:val="0"/>
    </w:rPr>
  </w:style>
  <w:style w:type="character" w:customStyle="1" w:styleId="CharStyle26">
    <w:name w:val="Основной текст (9) Exact"/>
    <w:basedOn w:val="DefaultParagraphFont"/>
    <w:link w:val="Style25"/>
    <w:rPr>
      <w:b w:val="0"/>
      <w:bCs w:val="0"/>
      <w:i w:val="0"/>
      <w:iCs w:val="0"/>
      <w:u w:val="none"/>
      <w:strike w:val="0"/>
      <w:smallCaps w:val="0"/>
      <w:sz w:val="28"/>
      <w:szCs w:val="28"/>
      <w:rFonts w:ascii="Tahoma" w:eastAsia="Tahoma" w:hAnsi="Tahoma" w:cs="Tahoma"/>
      <w:w w:val="200"/>
    </w:rPr>
  </w:style>
  <w:style w:type="character" w:customStyle="1" w:styleId="CharStyle27">
    <w:name w:val="Основной текст (9) Exact"/>
    <w:basedOn w:val="CharStyle26"/>
    <w:rPr>
      <w:lang w:val="ru-RU" w:eastAsia="ru-RU" w:bidi="ru-RU"/>
      <w:spacing w:val="0"/>
      <w:color w:val="000000"/>
      <w:position w:val="0"/>
    </w:rPr>
  </w:style>
  <w:style w:type="character" w:customStyle="1" w:styleId="CharStyle29">
    <w:name w:val="Основной текст (7)_"/>
    <w:basedOn w:val="DefaultParagraphFont"/>
    <w:link w:val="Style28"/>
    <w:rPr>
      <w:b w:val="0"/>
      <w:bCs w:val="0"/>
      <w:i w:val="0"/>
      <w:iCs w:val="0"/>
      <w:u w:val="none"/>
      <w:strike w:val="0"/>
      <w:smallCaps w:val="0"/>
      <w:sz w:val="38"/>
      <w:szCs w:val="38"/>
      <w:rFonts w:ascii="Times New Roman" w:eastAsia="Times New Roman" w:hAnsi="Times New Roman" w:cs="Times New Roman"/>
    </w:rPr>
  </w:style>
  <w:style w:type="character" w:customStyle="1" w:styleId="CharStyle30">
    <w:name w:val="Основной текст (7)"/>
    <w:basedOn w:val="CharStyle29"/>
    <w:rPr>
      <w:lang w:val="ru-RU" w:eastAsia="ru-RU" w:bidi="ru-RU"/>
      <w:w w:val="100"/>
      <w:spacing w:val="0"/>
      <w:color w:val="000000"/>
      <w:position w:val="0"/>
    </w:rPr>
  </w:style>
  <w:style w:type="character" w:customStyle="1" w:styleId="CharStyle32">
    <w:name w:val="Основной текст (8)_"/>
    <w:basedOn w:val="DefaultParagraphFont"/>
    <w:link w:val="Style31"/>
    <w:rPr>
      <w:b/>
      <w:bCs/>
      <w:i w:val="0"/>
      <w:iCs w:val="0"/>
      <w:u w:val="none"/>
      <w:strike w:val="0"/>
      <w:smallCaps w:val="0"/>
      <w:sz w:val="26"/>
      <w:szCs w:val="26"/>
      <w:rFonts w:ascii="Times New Roman" w:eastAsia="Times New Roman" w:hAnsi="Times New Roman" w:cs="Times New Roman"/>
    </w:rPr>
  </w:style>
  <w:style w:type="character" w:customStyle="1" w:styleId="CharStyle33">
    <w:name w:val="Основной текст (8) Exact"/>
    <w:basedOn w:val="DefaultParagraphFont"/>
    <w:rPr>
      <w:b/>
      <w:bCs/>
      <w:i w:val="0"/>
      <w:iCs w:val="0"/>
      <w:u w:val="none"/>
      <w:strike w:val="0"/>
      <w:smallCaps w:val="0"/>
      <w:rFonts w:ascii="Times New Roman" w:eastAsia="Times New Roman" w:hAnsi="Times New Roman" w:cs="Times New Roman"/>
      <w:spacing w:val="1"/>
    </w:rPr>
  </w:style>
  <w:style w:type="character" w:customStyle="1" w:styleId="CharStyle35">
    <w:name w:val="Штрих-код (2)_"/>
    <w:basedOn w:val="DefaultParagraphFont"/>
    <w:link w:val="Style34"/>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36">
    <w:name w:val="Основной текст"/>
    <w:basedOn w:val="CharStyle11"/>
    <w:rPr>
      <w:lang w:val="ru-RU" w:eastAsia="ru-RU" w:bidi="ru-RU"/>
      <w:u w:val="single"/>
      <w:w w:val="100"/>
      <w:spacing w:val="0"/>
      <w:color w:val="000000"/>
      <w:position w:val="0"/>
    </w:rPr>
  </w:style>
  <w:style w:type="character" w:customStyle="1" w:styleId="CharStyle38">
    <w:name w:val="Заголовок №1_"/>
    <w:basedOn w:val="DefaultParagraphFont"/>
    <w:link w:val="Style37"/>
    <w:rPr>
      <w:b/>
      <w:bCs/>
      <w:i w:val="0"/>
      <w:iCs w:val="0"/>
      <w:u w:val="none"/>
      <w:strike w:val="0"/>
      <w:smallCaps w:val="0"/>
      <w:sz w:val="26"/>
      <w:szCs w:val="26"/>
      <w:rFonts w:ascii="Times New Roman" w:eastAsia="Times New Roman" w:hAnsi="Times New Roman" w:cs="Times New Roman"/>
    </w:rPr>
  </w:style>
  <w:style w:type="character" w:customStyle="1" w:styleId="CharStyle40">
    <w:name w:val="Основной текст (10)_"/>
    <w:basedOn w:val="DefaultParagraphFont"/>
    <w:link w:val="Style39"/>
    <w:rPr>
      <w:b/>
      <w:bCs/>
      <w:i w:val="0"/>
      <w:iCs w:val="0"/>
      <w:u w:val="none"/>
      <w:strike w:val="0"/>
      <w:smallCaps w:val="0"/>
      <w:sz w:val="20"/>
      <w:szCs w:val="20"/>
      <w:rFonts w:ascii="Times New Roman" w:eastAsia="Times New Roman" w:hAnsi="Times New Roman" w:cs="Times New Roman"/>
    </w:rPr>
  </w:style>
  <w:style w:type="paragraph" w:customStyle="1" w:styleId="Style3">
    <w:name w:val="Основной текст"/>
    <w:basedOn w:val="Normal"/>
    <w:link w:val="CharStyle11"/>
    <w:pPr>
      <w:widowControl w:val="0"/>
      <w:shd w:val="clear" w:color="auto" w:fill="FFFFFF"/>
      <w:spacing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line="235" w:lineRule="exact"/>
    </w:pPr>
    <w:rPr>
      <w:b/>
      <w:bCs/>
      <w:i w:val="0"/>
      <w:iCs w:val="0"/>
      <w:u w:val="none"/>
      <w:strike w:val="0"/>
      <w:smallCaps w:val="0"/>
      <w:sz w:val="18"/>
      <w:szCs w:val="18"/>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jc w:val="center"/>
      <w:spacing w:line="221"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6">
    <w:name w:val="Основной текст (4)"/>
    <w:basedOn w:val="Normal"/>
    <w:link w:val="CharStyle17"/>
    <w:pPr>
      <w:widowControl w:val="0"/>
      <w:shd w:val="clear" w:color="auto" w:fill="FFFFFF"/>
      <w:spacing w:line="0" w:lineRule="exact"/>
    </w:pPr>
    <w:rPr>
      <w:b w:val="0"/>
      <w:bCs w:val="0"/>
      <w:i w:val="0"/>
      <w:iCs w:val="0"/>
      <w:u w:val="none"/>
      <w:strike w:val="0"/>
      <w:smallCaps w:val="0"/>
      <w:sz w:val="16"/>
      <w:szCs w:val="16"/>
      <w:rFonts w:ascii="Tahoma" w:eastAsia="Tahoma" w:hAnsi="Tahoma" w:cs="Tahoma"/>
    </w:rPr>
  </w:style>
  <w:style w:type="paragraph" w:customStyle="1" w:styleId="Style19">
    <w:name w:val="Основной текст (6)"/>
    <w:basedOn w:val="Normal"/>
    <w:link w:val="CharStyle20"/>
    <w:pPr>
      <w:widowControl w:val="0"/>
      <w:shd w:val="clear" w:color="auto" w:fill="FFFFFF"/>
      <w:spacing w:line="0" w:lineRule="exact"/>
    </w:pPr>
    <w:rPr>
      <w:b w:val="0"/>
      <w:bCs w:val="0"/>
      <w:i w:val="0"/>
      <w:iCs w:val="0"/>
      <w:u w:val="none"/>
      <w:strike w:val="0"/>
      <w:smallCaps w:val="0"/>
      <w:sz w:val="11"/>
      <w:szCs w:val="11"/>
      <w:rFonts w:ascii="Times New Roman" w:eastAsia="Times New Roman" w:hAnsi="Times New Roman" w:cs="Times New Roman"/>
      <w:w w:val="150"/>
      <w:spacing w:val="-7"/>
    </w:rPr>
  </w:style>
  <w:style w:type="paragraph" w:customStyle="1" w:styleId="Style22">
    <w:name w:val="Основной текст (5)"/>
    <w:basedOn w:val="Normal"/>
    <w:link w:val="CharStyle23"/>
    <w:pPr>
      <w:widowControl w:val="0"/>
      <w:shd w:val="clear" w:color="auto" w:fill="FFFFFF"/>
      <w:spacing w:line="0" w:lineRule="exact"/>
    </w:pPr>
    <w:rPr>
      <w:b w:val="0"/>
      <w:bCs w:val="0"/>
      <w:i w:val="0"/>
      <w:iCs w:val="0"/>
      <w:u w:val="none"/>
      <w:strike w:val="0"/>
      <w:smallCaps w:val="0"/>
      <w:sz w:val="17"/>
      <w:szCs w:val="17"/>
      <w:rFonts w:ascii="Times New Roman" w:eastAsia="Times New Roman" w:hAnsi="Times New Roman" w:cs="Times New Roman"/>
      <w:spacing w:val="20"/>
    </w:rPr>
  </w:style>
  <w:style w:type="paragraph" w:customStyle="1" w:styleId="Style25">
    <w:name w:val="Основной текст (9)"/>
    <w:basedOn w:val="Normal"/>
    <w:link w:val="CharStyle26"/>
    <w:pPr>
      <w:widowControl w:val="0"/>
      <w:shd w:val="clear" w:color="auto" w:fill="FFFFFF"/>
      <w:spacing w:line="0" w:lineRule="exact"/>
    </w:pPr>
    <w:rPr>
      <w:b w:val="0"/>
      <w:bCs w:val="0"/>
      <w:i w:val="0"/>
      <w:iCs w:val="0"/>
      <w:u w:val="none"/>
      <w:strike w:val="0"/>
      <w:smallCaps w:val="0"/>
      <w:sz w:val="28"/>
      <w:szCs w:val="28"/>
      <w:rFonts w:ascii="Tahoma" w:eastAsia="Tahoma" w:hAnsi="Tahoma" w:cs="Tahoma"/>
      <w:w w:val="200"/>
    </w:rPr>
  </w:style>
  <w:style w:type="paragraph" w:customStyle="1" w:styleId="Style28">
    <w:name w:val="Основной текст (7)"/>
    <w:basedOn w:val="Normal"/>
    <w:link w:val="CharStyle29"/>
    <w:pPr>
      <w:widowControl w:val="0"/>
      <w:shd w:val="clear" w:color="auto" w:fill="FFFFFF"/>
      <w:spacing w:after="480" w:line="0" w:lineRule="exact"/>
    </w:pPr>
    <w:rPr>
      <w:b w:val="0"/>
      <w:bCs w:val="0"/>
      <w:i w:val="0"/>
      <w:iCs w:val="0"/>
      <w:u w:val="none"/>
      <w:strike w:val="0"/>
      <w:smallCaps w:val="0"/>
      <w:sz w:val="38"/>
      <w:szCs w:val="38"/>
      <w:rFonts w:ascii="Times New Roman" w:eastAsia="Times New Roman" w:hAnsi="Times New Roman" w:cs="Times New Roman"/>
    </w:rPr>
  </w:style>
  <w:style w:type="paragraph" w:customStyle="1" w:styleId="Style31">
    <w:name w:val="Основной текст (8)"/>
    <w:basedOn w:val="Normal"/>
    <w:link w:val="CharStyle32"/>
    <w:pPr>
      <w:widowControl w:val="0"/>
      <w:shd w:val="clear" w:color="auto" w:fill="FFFFFF"/>
      <w:jc w:val="center"/>
      <w:spacing w:before="48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34">
    <w:name w:val="Штрих-код (2)"/>
    <w:basedOn w:val="Normal"/>
    <w:link w:val="CharStyle35"/>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37">
    <w:name w:val="Заголовок №1"/>
    <w:basedOn w:val="Normal"/>
    <w:link w:val="CharStyle38"/>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39">
    <w:name w:val="Основной текст (10)"/>
    <w:basedOn w:val="Normal"/>
    <w:link w:val="CharStyle40"/>
    <w:pPr>
      <w:widowControl w:val="0"/>
      <w:shd w:val="clear" w:color="auto" w:fill="FFFFFF"/>
      <w:spacing w:before="6120" w:line="1042" w:lineRule="exact"/>
    </w:pPr>
    <w:rPr>
      <w:b/>
      <w:bCs/>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