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52" w:line="260" w:lineRule="exact"/>
        <w:ind w:left="5300" w:right="0" w:firstLine="0"/>
      </w:pPr>
      <w:r>
        <w:rPr>
          <w:lang w:val="ru-RU" w:eastAsia="ru-RU" w:bidi="ru-RU"/>
          <w:w w:val="100"/>
          <w:spacing w:val="0"/>
          <w:color w:val="000000"/>
          <w:position w:val="0"/>
        </w:rPr>
        <w:t>ГКУ «РМР»</w:t>
      </w:r>
    </w:p>
    <w:p>
      <w:pPr>
        <w:pStyle w:val="Style3"/>
        <w:widowControl w:val="0"/>
        <w:keepNext w:val="0"/>
        <w:keepLines w:val="0"/>
        <w:shd w:val="clear" w:color="auto" w:fill="auto"/>
        <w:bidi w:val="0"/>
        <w:jc w:val="left"/>
        <w:spacing w:before="0" w:after="0" w:line="260" w:lineRule="exact"/>
        <w:ind w:left="5300" w:right="0" w:firstLine="0"/>
      </w:pPr>
      <w:r>
        <w:rPr>
          <w:lang w:val="ru-RU" w:eastAsia="ru-RU" w:bidi="ru-RU"/>
          <w:w w:val="100"/>
          <w:spacing w:val="0"/>
          <w:color w:val="000000"/>
          <w:position w:val="0"/>
        </w:rPr>
        <w:t>пер. Спасоглинищевский М., д. 3, стр.1,</w:t>
      </w:r>
    </w:p>
    <w:p>
      <w:pPr>
        <w:pStyle w:val="Style3"/>
        <w:widowControl w:val="0"/>
        <w:keepNext w:val="0"/>
        <w:keepLines w:val="0"/>
        <w:shd w:val="clear" w:color="auto" w:fill="auto"/>
        <w:bidi w:val="0"/>
        <w:jc w:val="left"/>
        <w:spacing w:before="0" w:after="0" w:line="643" w:lineRule="exact"/>
        <w:ind w:left="5300" w:right="0" w:firstLine="0"/>
      </w:pPr>
      <w:r>
        <w:rPr>
          <w:lang w:val="ru-RU" w:eastAsia="ru-RU" w:bidi="ru-RU"/>
          <w:w w:val="100"/>
          <w:spacing w:val="0"/>
          <w:color w:val="000000"/>
          <w:position w:val="0"/>
        </w:rPr>
        <w:t>г. Москва, 101000</w:t>
      </w:r>
    </w:p>
    <w:p>
      <w:pPr>
        <w:pStyle w:val="Style3"/>
        <w:widowControl w:val="0"/>
        <w:keepNext w:val="0"/>
        <w:keepLines w:val="0"/>
        <w:shd w:val="clear" w:color="auto" w:fill="auto"/>
        <w:bidi w:val="0"/>
        <w:jc w:val="left"/>
        <w:spacing w:before="0" w:after="0" w:line="643" w:lineRule="exact"/>
        <w:ind w:left="5300" w:right="0" w:firstLine="0"/>
      </w:pPr>
      <w:r>
        <w:rPr>
          <w:lang w:val="ru-RU" w:eastAsia="ru-RU" w:bidi="ru-RU"/>
          <w:w w:val="100"/>
          <w:spacing w:val="0"/>
          <w:color w:val="000000"/>
          <w:position w:val="0"/>
        </w:rPr>
        <w:t>ИП Меньшиков Р.А.</w:t>
      </w:r>
    </w:p>
    <w:p>
      <w:pPr>
        <w:pStyle w:val="Style3"/>
        <w:widowControl w:val="0"/>
        <w:keepNext w:val="0"/>
        <w:keepLines w:val="0"/>
        <w:shd w:val="clear" w:color="auto" w:fill="auto"/>
        <w:bidi w:val="0"/>
        <w:jc w:val="left"/>
        <w:spacing w:before="0" w:after="0" w:line="643" w:lineRule="exact"/>
        <w:ind w:left="5300" w:right="0" w:firstLine="0"/>
      </w:pPr>
      <w:r>
        <w:rPr>
          <w:lang w:val="ru-RU" w:eastAsia="ru-RU" w:bidi="ru-RU"/>
          <w:w w:val="100"/>
          <w:spacing w:val="0"/>
          <w:color w:val="000000"/>
          <w:position w:val="0"/>
        </w:rPr>
        <w:t>ул. Достоевского, д. 12, г. Артемовский,</w:t>
      </w:r>
    </w:p>
    <w:p>
      <w:pPr>
        <w:pStyle w:val="Style3"/>
        <w:widowControl w:val="0"/>
        <w:keepNext w:val="0"/>
        <w:keepLines w:val="0"/>
        <w:shd w:val="clear" w:color="auto" w:fill="auto"/>
        <w:bidi w:val="0"/>
        <w:jc w:val="left"/>
        <w:spacing w:before="0" w:after="0" w:line="643" w:lineRule="exact"/>
        <w:ind w:left="5300" w:right="0" w:firstLine="0"/>
      </w:pPr>
      <w:r>
        <w:rPr>
          <w:lang w:val="ru-RU" w:eastAsia="ru-RU" w:bidi="ru-RU"/>
          <w:w w:val="100"/>
          <w:spacing w:val="0"/>
          <w:color w:val="000000"/>
          <w:position w:val="0"/>
        </w:rPr>
        <w:t>623783</w:t>
      </w:r>
    </w:p>
    <w:p>
      <w:pPr>
        <w:pStyle w:val="Style3"/>
        <w:widowControl w:val="0"/>
        <w:keepNext w:val="0"/>
        <w:keepLines w:val="0"/>
        <w:shd w:val="clear" w:color="auto" w:fill="auto"/>
        <w:bidi w:val="0"/>
        <w:jc w:val="left"/>
        <w:spacing w:before="0" w:after="0" w:line="643" w:lineRule="exact"/>
        <w:ind w:left="5300" w:right="0" w:firstLine="0"/>
      </w:pPr>
      <w:r>
        <w:rPr>
          <w:lang w:val="ru-RU" w:eastAsia="ru-RU" w:bidi="ru-RU"/>
          <w:w w:val="100"/>
          <w:spacing w:val="0"/>
          <w:color w:val="000000"/>
          <w:position w:val="0"/>
        </w:rPr>
        <w:t>АГЗ РТ</w:t>
      </w:r>
    </w:p>
    <w:p>
      <w:pPr>
        <w:pStyle w:val="Style3"/>
        <w:widowControl w:val="0"/>
        <w:keepNext w:val="0"/>
        <w:keepLines w:val="0"/>
        <w:shd w:val="clear" w:color="auto" w:fill="auto"/>
        <w:bidi w:val="0"/>
        <w:jc w:val="left"/>
        <w:spacing w:before="0" w:after="0" w:line="643" w:lineRule="exact"/>
        <w:ind w:left="5300" w:right="0" w:firstLine="0"/>
      </w:pPr>
      <w:r>
        <w:rPr>
          <w:lang w:val="ru-RU" w:eastAsia="ru-RU" w:bidi="ru-RU"/>
          <w:w w:val="100"/>
          <w:spacing w:val="0"/>
          <w:color w:val="000000"/>
          <w:position w:val="0"/>
        </w:rPr>
        <w:t>ул. Московская, д. 55, г. Казань, РТ,</w:t>
      </w:r>
    </w:p>
    <w:p>
      <w:pPr>
        <w:pStyle w:val="Style3"/>
        <w:widowControl w:val="0"/>
        <w:keepNext w:val="0"/>
        <w:keepLines w:val="0"/>
        <w:shd w:val="clear" w:color="auto" w:fill="auto"/>
        <w:bidi w:val="0"/>
        <w:jc w:val="left"/>
        <w:spacing w:before="0" w:after="298" w:line="260" w:lineRule="exact"/>
        <w:ind w:left="5300" w:right="0" w:firstLine="0"/>
      </w:pPr>
      <w:r>
        <w:rPr>
          <w:lang w:val="ru-RU" w:eastAsia="ru-RU" w:bidi="ru-RU"/>
          <w:w w:val="100"/>
          <w:spacing w:val="0"/>
          <w:color w:val="000000"/>
          <w:position w:val="0"/>
        </w:rPr>
        <w:t>420021</w:t>
      </w:r>
    </w:p>
    <w:p>
      <w:pPr>
        <w:pStyle w:val="Style5"/>
        <w:tabs>
          <w:tab w:leader="none" w:pos="10134" w:val="right"/>
        </w:tabs>
        <w:widowControl w:val="0"/>
        <w:keepNext w:val="0"/>
        <w:keepLines w:val="0"/>
        <w:shd w:val="clear" w:color="auto" w:fill="auto"/>
        <w:bidi w:val="0"/>
        <w:jc w:val="left"/>
        <w:spacing w:before="0" w:after="0"/>
        <w:ind w:left="20" w:right="20" w:firstLine="4340"/>
      </w:pPr>
      <w:r>
        <w:rPr>
          <w:lang w:val="ru-RU" w:eastAsia="ru-RU" w:bidi="ru-RU"/>
          <w:w w:val="100"/>
          <w:spacing w:val="0"/>
          <w:color w:val="000000"/>
          <w:position w:val="0"/>
        </w:rPr>
        <w:t>РЕШЕНИЕ по делу № 077/06/106-19138/2021 о нарушении законодательства о контрактной системе 08.11.2021</w:t>
        <w:tab/>
        <w:t>Москва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3"/>
        <w:tabs>
          <w:tab w:leader="none" w:pos="64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3"/>
        <w:tabs>
          <w:tab w:leader="none" w:pos="615"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при участии представителя ГКУ «РМР»: Снопкова С.И.,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отсутствие представителей ИП Меньшиков Р.А., о времени и порядке заседания Комиссии Управления уведомлены надлежащим образом письмом Московского УФАС России от 25.10.2021 № ЕИ/65456/21,</w:t>
      </w:r>
    </w:p>
    <w:p>
      <w:pPr>
        <w:pStyle w:val="Style3"/>
        <w:widowControl w:val="0"/>
        <w:keepNext w:val="0"/>
        <w:keepLines w:val="0"/>
        <w:shd w:val="clear" w:color="auto" w:fill="auto"/>
        <w:bidi w:val="0"/>
        <w:jc w:val="both"/>
        <w:spacing w:before="0" w:after="356" w:line="322" w:lineRule="exact"/>
        <w:ind w:left="20" w:right="20" w:firstLine="700"/>
      </w:pPr>
      <w:r>
        <w:rPr>
          <w:lang w:val="ru-RU" w:eastAsia="ru-RU" w:bidi="ru-RU"/>
          <w:w w:val="100"/>
          <w:spacing w:val="0"/>
          <w:color w:val="000000"/>
          <w:position w:val="0"/>
        </w:rPr>
        <w:t>рассмотрев жалобу ИП Меньшиков Р.А. (далее — Заявитель) на действия ГКУ «РМР» (далее — Заказчик) при проведении электронного аукциона на право заключения государственного контракта на выполнение подрядных работ по объекту: «Строительство линии внешнего электроснабжения к садоводческому некоммерческому товариществу «Орион» г.о. Орехово-Зуево Московской обл.» (Закупка № 0373200013221000015) (далее - электронный аукцион, аукцион),</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001682936396</w:t>
      </w:r>
    </w:p>
    <w:p>
      <w:pPr>
        <w:pStyle w:val="Style3"/>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w:t>
      </w:r>
    </w:p>
    <w:p>
      <w:pPr>
        <w:pStyle w:val="Style9"/>
        <w:widowControl w:val="0"/>
        <w:keepNext/>
        <w:keepLines/>
        <w:shd w:val="clear" w:color="auto" w:fill="auto"/>
        <w:bidi w:val="0"/>
        <w:jc w:val="left"/>
        <w:spacing w:before="0" w:after="308"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25.10.2021 № ЕИ/65456/21.</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По мнению Заявителя, Заказчиком неправомерно не установлены дополнительные требования к участникам закупки, предусмотренные п.2(1) Приложения №1 к постановлению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несмотря на тот факт, что объектом закупки является выполнение подрядных работ по строительству линии внешнего электроснабжения.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п.1,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ч.3 ст.64 Закона о контрактной системе документация об электронном аукционе наряду с предусмотренной ч. 1 ст. 64 Закона о контрактной системе информацией должна содержать требования к участникам такого аукциона, установленные в соответствии с ч. 1, ч. 1.1, 2 и 2.1 (при наличии таких требований) ст. 31 Закона о контрактной системе.</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основании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дополнительные требования, в том числе к наличию:</w:t>
      </w:r>
    </w:p>
    <w:p>
      <w:pPr>
        <w:pStyle w:val="Style3"/>
        <w:numPr>
          <w:ilvl w:val="0"/>
          <w:numId w:val="1"/>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 финансовых ресурсов для исполнения контракта;</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3"/>
        <w:numPr>
          <w:ilvl w:val="0"/>
          <w:numId w:val="1"/>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3"/>
        <w:numPr>
          <w:ilvl w:val="0"/>
          <w:numId w:val="1"/>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п.2(1) Приложения 1 к постановлению №99 при 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предъявляются дополнительные требования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стоимость такого одного исполненного контракта (договора) должна составлять:</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Подтверждением такого опыта являются следующие документы:</w:t>
      </w:r>
    </w:p>
    <w:p>
      <w:pPr>
        <w:pStyle w:val="Style3"/>
        <w:numPr>
          <w:ilvl w:val="0"/>
          <w:numId w:val="3"/>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 xml:space="preserve"> копия исполненного контракта (договора);</w:t>
      </w:r>
    </w:p>
    <w:p>
      <w:pPr>
        <w:pStyle w:val="Style3"/>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3"/>
        <w:numPr>
          <w:ilvl w:val="0"/>
          <w:numId w:val="3"/>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Указанный документ должен быть подписан не ранее чем за 5 лет до даты окончания срока подачи заявок на участие в закупке».</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14.10.2021 №0373200013221000015 объектом закупки является выполнение подрядных работ по объекту: «Строительство линии внешнего электроснабжения к садоводческому некоммерческому товариществу «Орион» г.о. Орехово-Зуево Московской обл.», начальная (максимальная) цена контракта - 5 125 871, 21.</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закупаемые работы, в совокупности с нормами законодательства Российской Федерации, являются условием для необходимости применения положений постановления №99.</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ч.4 ст.31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заседании Комиссии Управления представитель Заказчика согласился с вышеуказанными доводами жалобы и пояснил, что неустановление дополнительных требований к участникам закупки в соответствии с положениями постановления № 99 явилось следствием допущенной технической ошибки.</w:t>
      </w:r>
    </w:p>
    <w:p>
      <w:pPr>
        <w:pStyle w:val="Style3"/>
        <w:tabs>
          <w:tab w:leader="none" w:pos="994"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отмечает, что в нарушение ч.4 ст.31 Закона о контрактной системе в аукционной документации отсутствуют дополнительные требования к участникам закупки на основании п.2(1) приложения №1 к постановлению №99, что также содержит признаки состава административного правонарушения, ответственность за которое предусмотрена ч.4.2</w:t>
        <w:tab/>
        <w:t>ст.7.30 Кодекса Российской Федерации об административных</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правонарушениях.</w:t>
      </w:r>
    </w:p>
    <w:p>
      <w:pPr>
        <w:pStyle w:val="Style3"/>
        <w:widowControl w:val="0"/>
        <w:keepNext w:val="0"/>
        <w:keepLines w:val="0"/>
        <w:shd w:val="clear" w:color="auto" w:fill="auto"/>
        <w:bidi w:val="0"/>
        <w:jc w:val="both"/>
        <w:spacing w:before="0" w:after="0" w:line="322" w:lineRule="exact"/>
        <w:ind w:left="0" w:right="20" w:firstLine="700"/>
        <w:sectPr>
          <w:footnotePr>
            <w:pos w:val="pageBottom"/>
            <w:numFmt w:val="decimal"/>
            <w:numRestart w:val="continuous"/>
          </w:footnotePr>
          <w:type w:val="continuous"/>
          <w:pgSz w:w="11906" w:h="16838"/>
          <w:pgMar w:top="1123" w:left="851" w:right="840" w:bottom="1036"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5"/>
        <w:widowControl w:val="0"/>
        <w:keepNext w:val="0"/>
        <w:keepLines w:val="0"/>
        <w:shd w:val="clear" w:color="auto" w:fill="auto"/>
        <w:bidi w:val="0"/>
        <w:jc w:val="center"/>
        <w:spacing w:before="0" w:after="0" w:line="260" w:lineRule="exact"/>
        <w:ind w:left="40" w:right="0" w:firstLine="0"/>
      </w:pPr>
      <w:r>
        <w:rPr>
          <w:lang w:val="ru-RU" w:eastAsia="ru-RU" w:bidi="ru-RU"/>
          <w:w w:val="100"/>
          <w:spacing w:val="0"/>
          <w:color w:val="000000"/>
          <w:position w:val="0"/>
        </w:rPr>
        <w:t>Р Е Ш И Л А:</w:t>
      </w:r>
    </w:p>
    <w:p>
      <w:pPr>
        <w:pStyle w:val="Style3"/>
        <w:numPr>
          <w:ilvl w:val="0"/>
          <w:numId w:val="5"/>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Признать жалобу ИП Меньшиков Р.А. на действия ГКУ «РМР» обоснованной.</w:t>
      </w:r>
    </w:p>
    <w:p>
      <w:pPr>
        <w:pStyle w:val="Style3"/>
        <w:numPr>
          <w:ilvl w:val="0"/>
          <w:numId w:val="5"/>
        </w:numPr>
        <w:widowControl w:val="0"/>
        <w:keepNext w:val="0"/>
        <w:keepLines w:val="0"/>
        <w:shd w:val="clear" w:color="auto" w:fill="auto"/>
        <w:bidi w:val="0"/>
        <w:jc w:val="both"/>
        <w:spacing w:before="0" w:after="0" w:line="326" w:lineRule="exact"/>
        <w:ind w:left="20" w:right="20" w:firstLine="720"/>
      </w:pPr>
      <w:r>
        <w:rPr>
          <w:lang w:val="ru-RU" w:eastAsia="ru-RU" w:bidi="ru-RU"/>
          <w:w w:val="100"/>
          <w:spacing w:val="0"/>
          <w:color w:val="000000"/>
          <w:position w:val="0"/>
        </w:rPr>
        <w:t xml:space="preserve"> Признать в действиях Заказчика нарушение ч.4 ст.31 Закона о контрактной системе.</w:t>
      </w:r>
    </w:p>
    <w:p>
      <w:pPr>
        <w:pStyle w:val="Style3"/>
        <w:numPr>
          <w:ilvl w:val="0"/>
          <w:numId w:val="5"/>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5"/>
        </w:numPr>
        <w:widowControl w:val="0"/>
        <w:keepNext w:val="0"/>
        <w:keepLines w:val="0"/>
        <w:shd w:val="clear" w:color="auto" w:fill="auto"/>
        <w:bidi w:val="0"/>
        <w:jc w:val="both"/>
        <w:spacing w:before="0" w:after="296" w:line="317" w:lineRule="exact"/>
        <w:ind w:left="20" w:right="20" w:firstLine="72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47" w:line="322" w:lineRule="exact"/>
        <w:ind w:left="2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9054" w:val="center"/>
          <w:tab w:leader="none" w:pos="10158"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3"/>
        <w:tabs>
          <w:tab w:leader="none" w:pos="8818" w:val="center"/>
          <w:tab w:leader="none" w:pos="10158"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В.А.</w:t>
        <w:tab/>
        <w:t>Матвеев</w:t>
      </w:r>
    </w:p>
    <w:p>
      <w:pPr>
        <w:pStyle w:val="Style3"/>
        <w:widowControl w:val="0"/>
        <w:keepNext w:val="0"/>
        <w:keepLines w:val="0"/>
        <w:shd w:val="clear" w:color="auto" w:fill="auto"/>
        <w:bidi w:val="0"/>
        <w:jc w:val="right"/>
        <w:spacing w:before="0" w:after="7223" w:line="638" w:lineRule="exact"/>
        <w:ind w:left="0" w:right="20" w:firstLine="0"/>
      </w:pPr>
      <w:r>
        <w:rPr>
          <w:lang w:val="ru-RU" w:eastAsia="ru-RU" w:bidi="ru-RU"/>
          <w:w w:val="100"/>
          <w:spacing w:val="0"/>
          <w:color w:val="000000"/>
          <w:position w:val="0"/>
        </w:rPr>
        <w:t>Н.А. Узкий</w:t>
      </w:r>
    </w:p>
    <w:p>
      <w:pPr>
        <w:pStyle w:val="Style11"/>
        <w:widowControl w:val="0"/>
        <w:keepNext w:val="0"/>
        <w:keepLines w:val="0"/>
        <w:shd w:val="clear" w:color="auto" w:fill="auto"/>
        <w:bidi w:val="0"/>
        <w:jc w:val="left"/>
        <w:spacing w:before="0" w:after="0"/>
        <w:ind w:left="20" w:right="6600" w:firstLine="0"/>
      </w:pPr>
      <w:r>
        <w:rPr>
          <w:lang w:val="ru-RU" w:eastAsia="ru-RU" w:bidi="ru-RU"/>
          <w:w w:val="100"/>
          <w:spacing w:val="0"/>
          <w:color w:val="000000"/>
          <w:position w:val="0"/>
        </w:rPr>
        <w:t>Исп. Матвеев Владислав Александрович Тел. 8-495-784-75-05</w:t>
      </w:r>
    </w:p>
    <w:sectPr>
      <w:type w:val="continuous"/>
      <w:pgSz w:w="11906" w:h="16838"/>
      <w:pgMar w:top="1269" w:left="848" w:right="848" w:bottom="14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4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6900" w:line="235"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