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3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48"/>
        <w:ind w:left="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7"/>
        <w:widowControl w:val="0"/>
        <w:keepNext w:val="0"/>
        <w:keepLines w:val="0"/>
        <w:shd w:val="clear" w:color="auto" w:fill="auto"/>
        <w:bidi w:val="0"/>
        <w:spacing w:before="0" w:after="274"/>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9"/>
        <w:numPr>
          <w:ilvl w:val="0"/>
          <w:numId w:val="1"/>
        </w:numPr>
        <w:tabs>
          <w:tab w:leader="none" w:pos="3583" w:val="right"/>
          <w:tab w:leader="none" w:pos="2048" w:val="left"/>
        </w:tabs>
        <w:widowControl w:val="0"/>
        <w:keepNext w:val="0"/>
        <w:keepLines w:val="0"/>
        <w:shd w:val="clear" w:color="auto" w:fill="auto"/>
        <w:bidi w:val="0"/>
        <w:spacing w:before="0" w:after="240" w:line="230" w:lineRule="exact"/>
        <w:ind w:left="780" w:right="0" w:firstLine="0"/>
      </w:pPr>
      <w:r>
        <w:rPr>
          <w:lang w:val="ru-RU" w:eastAsia="ru-RU" w:bidi="ru-RU"/>
          <w:w w:val="100"/>
          <w:spacing w:val="0"/>
          <w:color w:val="000000"/>
          <w:position w:val="0"/>
        </w:rPr>
        <w:t>№</w:t>
        <w:tab/>
      </w:r>
      <w:r>
        <w:rPr>
          <w:rStyle w:val="CharStyle11"/>
        </w:rPr>
        <w:t>5997/03</w:t>
      </w:r>
    </w:p>
    <w:p>
      <w:pPr>
        <w:pStyle w:val="Style3"/>
        <w:tabs>
          <w:tab w:leader="underscore" w:pos="2470" w:val="right"/>
        </w:tabs>
        <w:widowControl w:val="0"/>
        <w:keepNext w:val="0"/>
        <w:keepLines w:val="0"/>
        <w:shd w:val="clear" w:color="auto" w:fill="auto"/>
        <w:bidi w:val="0"/>
        <w:jc w:val="both"/>
        <w:spacing w:before="0" w:after="0" w:line="210" w:lineRule="exact"/>
        <w:ind w:left="420" w:right="0" w:firstLine="0"/>
      </w:pPr>
      <w:r>
        <w:rPr>
          <w:lang w:val="ru-RU" w:eastAsia="ru-RU" w:bidi="ru-RU"/>
          <w:w w:val="100"/>
          <w:spacing w:val="0"/>
          <w:color w:val="000000"/>
          <w:position w:val="0"/>
        </w:rPr>
        <w:t xml:space="preserve">На № </w:t>
        <w:tab/>
        <w:t xml:space="preserve"> от</w:t>
      </w:r>
    </w:p>
    <w:p>
      <w:pPr>
        <w:pStyle w:val="Style9"/>
        <w:widowControl w:val="0"/>
        <w:keepNext w:val="0"/>
        <w:keepLines w:val="0"/>
        <w:shd w:val="clear" w:color="auto" w:fill="auto"/>
        <w:bidi w:val="0"/>
        <w:jc w:val="right"/>
        <w:spacing w:before="0" w:after="0" w:line="302" w:lineRule="exact"/>
        <w:ind w:left="20" w:right="20" w:firstLine="0"/>
      </w:pPr>
      <w:r>
        <w:rPr>
          <w:rStyle w:val="CharStyle11"/>
        </w:rPr>
        <w:t>Заявителю</w:t>
      </w:r>
      <w:r>
        <w:rPr>
          <w:lang w:val="ru-RU" w:eastAsia="ru-RU" w:bidi="ru-RU"/>
          <w:w w:val="100"/>
          <w:spacing w:val="0"/>
          <w:color w:val="000000"/>
          <w:position w:val="0"/>
        </w:rPr>
        <w:t>: ООО «Империя окон» 302026, г. Орёл, ул. Комсомольская,</w:t>
      </w:r>
    </w:p>
    <w:p>
      <w:pPr>
        <w:pStyle w:val="Style9"/>
        <w:widowControl w:val="0"/>
        <w:keepNext w:val="0"/>
        <w:keepLines w:val="0"/>
        <w:shd w:val="clear" w:color="auto" w:fill="auto"/>
        <w:bidi w:val="0"/>
        <w:jc w:val="right"/>
        <w:spacing w:before="0" w:after="548" w:line="307" w:lineRule="exact"/>
        <w:ind w:left="500" w:right="20" w:firstLine="0"/>
      </w:pPr>
      <w:r>
        <w:rPr>
          <w:lang w:val="ru-RU" w:eastAsia="ru-RU" w:bidi="ru-RU"/>
          <w:w w:val="100"/>
          <w:spacing w:val="0"/>
          <w:color w:val="000000"/>
          <w:position w:val="0"/>
        </w:rPr>
        <w:t xml:space="preserve">д. 87, пом. 36 </w:t>
      </w:r>
      <w:r>
        <w:rPr>
          <w:lang w:val="en-US" w:eastAsia="en-US" w:bidi="en-US"/>
          <w:w w:val="100"/>
          <w:spacing w:val="0"/>
          <w:color w:val="000000"/>
          <w:position w:val="0"/>
        </w:rPr>
        <w:t xml:space="preserve">e-mail: </w:t>
      </w:r>
      <w:r>
        <w:fldChar w:fldCharType="begin"/>
      </w:r>
      <w:r>
        <w:rPr>
          <w:rStyle w:val="CharStyle11"/>
        </w:rPr>
        <w:instrText> HYPERLINK "mailto:imperia57-tender@mail.ru" </w:instrText>
      </w:r>
      <w:r>
        <w:fldChar w:fldCharType="separate"/>
      </w:r>
      <w:r>
        <w:rPr>
          <w:rStyle w:val="Hyperlink"/>
          <w:lang w:val="en-US" w:eastAsia="en-US" w:bidi="en-US"/>
        </w:rPr>
        <w:t>imperia57-tender@mail.ru</w:t>
      </w:r>
      <w:r>
        <w:fldChar w:fldCharType="end"/>
      </w:r>
    </w:p>
    <w:p>
      <w:pPr>
        <w:pStyle w:val="Style9"/>
        <w:widowControl w:val="0"/>
        <w:keepNext w:val="0"/>
        <w:keepLines w:val="0"/>
        <w:shd w:val="clear" w:color="auto" w:fill="auto"/>
        <w:bidi w:val="0"/>
        <w:jc w:val="right"/>
        <w:spacing w:before="0" w:after="0" w:line="298" w:lineRule="exact"/>
        <w:ind w:left="20" w:right="20" w:firstLine="0"/>
        <w:sectPr>
          <w:footnotePr>
            <w:pos w:val="pageBottom"/>
            <w:numFmt w:val="decimal"/>
            <w:numRestart w:val="continuous"/>
          </w:footnotePr>
          <w:type w:val="continuous"/>
          <w:pgSz w:w="11906" w:h="16838"/>
          <w:pgMar w:top="597" w:left="1378" w:right="1287" w:bottom="626" w:header="0" w:footer="3" w:gutter="0"/>
          <w:rtlGutter w:val="0"/>
          <w:cols w:num="2" w:space="720" w:equalWidth="0">
            <w:col w:w="4742" w:space="461"/>
            <w:col w:w="4037"/>
          </w:cols>
          <w:noEndnote/>
          <w:docGrid w:linePitch="360"/>
        </w:sectPr>
      </w:pPr>
      <w:r>
        <w:rPr>
          <w:lang w:val="ru-RU" w:eastAsia="ru-RU" w:bidi="ru-RU"/>
          <w:w w:val="100"/>
          <w:spacing w:val="0"/>
          <w:color w:val="000000"/>
          <w:position w:val="0"/>
        </w:rPr>
        <w:t>З</w:t>
      </w:r>
      <w:r>
        <w:rPr>
          <w:rStyle w:val="CharStyle11"/>
        </w:rPr>
        <w:t>аказчику, комиссии Заказчика</w:t>
      </w:r>
      <w:r>
        <w:rPr>
          <w:lang w:val="ru-RU" w:eastAsia="ru-RU" w:bidi="ru-RU"/>
          <w:w w:val="100"/>
          <w:spacing w:val="0"/>
          <w:color w:val="000000"/>
          <w:position w:val="0"/>
        </w:rPr>
        <w:t xml:space="preserve">: Федеральному государственному бюджетному образовательному учреждению высшего образования «Орловский государственный аграрный университет им. Н.В. Парахина» 302019, г. Орёл, Генерала Родина,69 </w:t>
      </w:r>
      <w:r>
        <w:rPr>
          <w:lang w:val="en-US" w:eastAsia="en-US" w:bidi="en-US"/>
          <w:w w:val="100"/>
          <w:spacing w:val="0"/>
          <w:color w:val="000000"/>
          <w:position w:val="0"/>
        </w:rPr>
        <w:t xml:space="preserve">e-mail: </w:t>
      </w:r>
      <w:r>
        <w:rPr>
          <w:rStyle w:val="CharStyle11"/>
          <w:lang w:val="en-US" w:eastAsia="en-US" w:bidi="en-US"/>
        </w:rPr>
        <w:t xml:space="preserve">prorector3@ore </w:t>
      </w:r>
      <w:r>
        <w:rPr>
          <w:rStyle w:val="CharStyle11"/>
        </w:rPr>
        <w:t xml:space="preserve">1 </w:t>
      </w:r>
      <w:r>
        <w:rPr>
          <w:rStyle w:val="CharStyle11"/>
          <w:lang w:val="en-US" w:eastAsia="en-US" w:bidi="en-US"/>
        </w:rPr>
        <w:t>sau.ru</w:t>
      </w:r>
    </w:p>
    <w:p>
      <w:pPr>
        <w:widowControl w:val="0"/>
        <w:spacing w:line="240" w:lineRule="exact"/>
        <w:rPr>
          <w:sz w:val="19"/>
          <w:szCs w:val="19"/>
        </w:rPr>
      </w:pP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right"/>
        <w:spacing w:before="0" w:after="646" w:line="288" w:lineRule="exact"/>
        <w:ind w:left="5020" w:right="20" w:firstLine="0"/>
      </w:pPr>
      <w:r>
        <w:rPr>
          <w:rStyle w:val="CharStyle11"/>
        </w:rPr>
        <w:t>Оператору ЭТИ</w:t>
      </w:r>
      <w:r>
        <w:rPr>
          <w:lang w:val="ru-RU" w:eastAsia="ru-RU" w:bidi="ru-RU"/>
          <w:w w:val="100"/>
          <w:spacing w:val="0"/>
          <w:color w:val="000000"/>
          <w:position w:val="0"/>
        </w:rPr>
        <w:t xml:space="preserve">: АО «ТЭК-торг» </w:t>
      </w:r>
      <w:r>
        <w:rPr>
          <w:lang w:val="en-US" w:eastAsia="en-US" w:bidi="en-US"/>
          <w:w w:val="100"/>
          <w:spacing w:val="0"/>
          <w:color w:val="000000"/>
          <w:position w:val="0"/>
        </w:rPr>
        <w:t xml:space="preserve">e-mail: </w:t>
      </w:r>
      <w:r>
        <w:fldChar w:fldCharType="begin"/>
      </w:r>
      <w:r>
        <w:rPr>
          <w:rStyle w:val="CharStyle11"/>
        </w:rPr>
        <w:instrText> HYPERLINK "mailto:help@tcktorg.ru" </w:instrText>
      </w:r>
      <w:r>
        <w:fldChar w:fldCharType="separate"/>
      </w:r>
      <w:r>
        <w:rPr>
          <w:rStyle w:val="Hyperlink"/>
          <w:lang w:val="en-US" w:eastAsia="en-US" w:bidi="en-US"/>
        </w:rPr>
        <w:t>help@tcktorg.ru</w:t>
      </w:r>
      <w:r>
        <w:fldChar w:fldCharType="end"/>
      </w:r>
    </w:p>
    <w:p>
      <w:pPr>
        <w:pStyle w:val="Style5"/>
        <w:widowControl w:val="0"/>
        <w:keepNext w:val="0"/>
        <w:keepLines w:val="0"/>
        <w:shd w:val="clear" w:color="auto" w:fill="auto"/>
        <w:bidi w:val="0"/>
        <w:jc w:val="right"/>
        <w:spacing w:before="0" w:after="506" w:line="230" w:lineRule="exact"/>
        <w:ind w:left="0" w:right="20" w:firstLine="0"/>
      </w:pPr>
      <w:r>
        <w:rPr>
          <w:lang w:val="ru-RU" w:eastAsia="ru-RU" w:bidi="ru-RU"/>
          <w:w w:val="100"/>
          <w:spacing w:val="0"/>
          <w:color w:val="000000"/>
          <w:position w:val="0"/>
        </w:rPr>
        <w:t>(Извещение № 0354100001021000005)</w:t>
      </w:r>
    </w:p>
    <w:p>
      <w:pPr>
        <w:pStyle w:val="Style9"/>
        <w:tabs>
          <w:tab w:leader="none" w:pos="8612" w:val="center"/>
          <w:tab w:leader="none" w:pos="9313" w:val="right"/>
        </w:tabs>
        <w:widowControl w:val="0"/>
        <w:keepNext w:val="0"/>
        <w:keepLines w:val="0"/>
        <w:shd w:val="clear" w:color="auto" w:fill="auto"/>
        <w:bidi w:val="0"/>
        <w:jc w:val="left"/>
        <w:spacing w:before="0" w:after="236" w:line="283" w:lineRule="exact"/>
        <w:ind w:left="20" w:right="20" w:firstLine="2600"/>
      </w:pPr>
      <w:r>
        <w:rPr>
          <w:lang w:val="ru-RU" w:eastAsia="ru-RU" w:bidi="ru-RU"/>
          <w:w w:val="100"/>
          <w:spacing w:val="0"/>
          <w:color w:val="000000"/>
          <w:position w:val="0"/>
        </w:rPr>
        <w:t>Р Е Ш Е Н И Е № 057/06/69-837/2021 о нарушении законодательства о закупках 29 октября 2021 года</w:t>
        <w:tab/>
        <w:t>г.</w:t>
        <w:tab/>
        <w:t>Орёл</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государственного инспектора отдела естественных монополий и рекламы,</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присутствии представителя заявителя: ООО «Империя окон» (далее - Заявитель) Морина С.И.,</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присутствии представителя заказчика: Федерального государственного бюджетного образовательного учреждения высшего образования «Орловский государственный университет имени Н.В. Парахина» (далее - Заказчик) - Губенкова А.О.,</w:t>
      </w:r>
    </w:p>
    <w:p>
      <w:pPr>
        <w:pStyle w:val="Style9"/>
        <w:widowControl w:val="0"/>
        <w:keepNext w:val="0"/>
        <w:keepLines w:val="0"/>
        <w:shd w:val="clear" w:color="auto" w:fill="auto"/>
        <w:bidi w:val="0"/>
        <w:spacing w:before="0" w:after="0" w:line="288" w:lineRule="exact"/>
        <w:ind w:left="20" w:right="20" w:firstLine="700"/>
        <w:sectPr>
          <w:type w:val="continuous"/>
          <w:pgSz w:w="11906" w:h="16838"/>
          <w:pgMar w:top="597" w:left="1268" w:right="1263" w:bottom="626" w:header="0" w:footer="3" w:gutter="0"/>
          <w:rtlGutter w:val="0"/>
          <w:cols w:space="720"/>
          <w:noEndnote/>
          <w:docGrid w:linePitch="360"/>
        </w:sectPr>
      </w:pPr>
      <w:r>
        <w:rPr>
          <w:lang w:val="ru-RU" w:eastAsia="ru-RU" w:bidi="ru-RU"/>
          <w:w w:val="100"/>
          <w:spacing w:val="0"/>
          <w:color w:val="000000"/>
          <w:position w:val="0"/>
        </w:rPr>
        <w:t xml:space="preserve">рассмотрев посредством интернет-видеоконференции с использованием сервиса видеоконференций </w:t>
      </w:r>
      <w:r>
        <w:rPr>
          <w:rStyle w:val="CharStyle12"/>
        </w:rPr>
        <w:t xml:space="preserve">TrueConf </w:t>
      </w:r>
      <w:r>
        <w:rPr>
          <w:lang w:val="ru-RU" w:eastAsia="ru-RU" w:bidi="ru-RU"/>
          <w:w w:val="100"/>
          <w:spacing w:val="0"/>
          <w:color w:val="000000"/>
          <w:position w:val="0"/>
        </w:rPr>
        <w:t>жалобу ООО «Империя окон» на действия Заказчика при разработке документации об аукционе на капитальный ремонт оконных блоков в общежитии по адресу г. Орел, ул. Веселая, д. 28, извещение №0354100001021000005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p>
    <w:p>
      <w:pPr>
        <w:pStyle w:val="Style9"/>
        <w:widowControl w:val="0"/>
        <w:keepNext w:val="0"/>
        <w:keepLines w:val="0"/>
        <w:shd w:val="clear" w:color="auto" w:fill="auto"/>
        <w:bidi w:val="0"/>
        <w:spacing w:before="0" w:after="290" w:line="293" w:lineRule="exact"/>
        <w:ind w:left="460" w:right="480" w:firstLine="0"/>
      </w:pPr>
      <w:r>
        <w:rPr>
          <w:lang w:val="ru-RU" w:eastAsia="ru-RU" w:bidi="ru-RU"/>
          <w:w w:val="100"/>
          <w:spacing w:val="0"/>
          <w:color w:val="000000"/>
          <w:position w:val="0"/>
        </w:rPr>
        <w:t>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283" w:line="230" w:lineRule="exact"/>
        <w:ind w:left="4240" w:right="0" w:firstLine="0"/>
      </w:pPr>
      <w:r>
        <w:rPr>
          <w:rStyle w:val="CharStyle13"/>
        </w:rPr>
        <w:t>УСТАНОВИЛА:</w:t>
      </w:r>
    </w:p>
    <w:p>
      <w:pPr>
        <w:pStyle w:val="Style9"/>
        <w:widowControl w:val="0"/>
        <w:keepNext w:val="0"/>
        <w:keepLines w:val="0"/>
        <w:shd w:val="clear" w:color="auto" w:fill="auto"/>
        <w:bidi w:val="0"/>
        <w:spacing w:before="0" w:after="0" w:line="278" w:lineRule="exact"/>
        <w:ind w:left="460" w:right="480" w:firstLine="700"/>
      </w:pPr>
      <w:r>
        <w:rPr>
          <w:lang w:val="ru-RU" w:eastAsia="ru-RU" w:bidi="ru-RU"/>
          <w:w w:val="100"/>
          <w:spacing w:val="0"/>
          <w:color w:val="000000"/>
          <w:position w:val="0"/>
        </w:rPr>
        <w:t>В жалобе Заявитель указал, что Комиссия Заказчика необоснованно отклонила его заявку.</w:t>
      </w:r>
    </w:p>
    <w:p>
      <w:pPr>
        <w:pStyle w:val="Style9"/>
        <w:widowControl w:val="0"/>
        <w:keepNext w:val="0"/>
        <w:keepLines w:val="0"/>
        <w:shd w:val="clear" w:color="auto" w:fill="auto"/>
        <w:bidi w:val="0"/>
        <w:spacing w:before="0" w:after="0" w:line="278" w:lineRule="exact"/>
        <w:ind w:left="460" w:right="0" w:firstLine="700"/>
      </w:pPr>
      <w:r>
        <w:rPr>
          <w:lang w:val="ru-RU" w:eastAsia="ru-RU" w:bidi="ru-RU"/>
          <w:w w:val="100"/>
          <w:spacing w:val="0"/>
          <w:color w:val="000000"/>
          <w:position w:val="0"/>
        </w:rPr>
        <w:t>В пункте 6 Протокола подведения итогов электронного аукциона от</w:t>
      </w:r>
    </w:p>
    <w:p>
      <w:pPr>
        <w:pStyle w:val="Style9"/>
        <w:numPr>
          <w:ilvl w:val="0"/>
          <w:numId w:val="3"/>
        </w:numPr>
        <w:tabs>
          <w:tab w:leader="none" w:pos="1714" w:val="left"/>
        </w:tabs>
        <w:widowControl w:val="0"/>
        <w:keepNext w:val="0"/>
        <w:keepLines w:val="0"/>
        <w:shd w:val="clear" w:color="auto" w:fill="auto"/>
        <w:bidi w:val="0"/>
        <w:spacing w:before="0" w:after="0" w:line="278" w:lineRule="exact"/>
        <w:ind w:left="460" w:right="0" w:firstLine="0"/>
      </w:pPr>
      <w:r>
        <w:rPr>
          <w:lang w:val="ru-RU" w:eastAsia="ru-RU" w:bidi="ru-RU"/>
          <w:w w:val="100"/>
          <w:spacing w:val="0"/>
          <w:color w:val="000000"/>
          <w:position w:val="0"/>
        </w:rPr>
        <w:t>№0354100001021000005-3 указано:</w:t>
      </w:r>
    </w:p>
    <w:p>
      <w:pPr>
        <w:pStyle w:val="Style3"/>
        <w:widowControl w:val="0"/>
        <w:keepNext w:val="0"/>
        <w:keepLines w:val="0"/>
        <w:shd w:val="clear" w:color="auto" w:fill="auto"/>
        <w:bidi w:val="0"/>
        <w:jc w:val="both"/>
        <w:spacing w:before="0" w:after="183" w:line="283" w:lineRule="exact"/>
        <w:ind w:left="460" w:right="480" w:firstLine="700"/>
      </w:pPr>
      <w:r>
        <w:rPr>
          <w:lang w:val="ru-RU" w:eastAsia="ru-RU" w:bidi="ru-RU"/>
          <w:w w:val="100"/>
          <w:spacing w:val="0"/>
          <w:color w:val="000000"/>
          <w:position w:val="0"/>
        </w:rPr>
        <w:t>«Аукционная комиссия, рассмотрела в соответствии со ст. 69 Федерального закона № 44-ФЗ вторые части заявок на участие в электронном аукционе на соответствие их требованиям, установленным документацией о таком аукционе, а также информацию об участниках, содержащуюся в реестре участников такого аукциона, получивших аккредитацию на</w:t>
      </w:r>
    </w:p>
    <w:tbl>
      <w:tblPr>
        <w:tblOverlap w:val="never"/>
        <w:tblLayout w:type="fixed"/>
        <w:jc w:val="center"/>
      </w:tblPr>
      <w:tblGrid>
        <w:gridCol w:w="821"/>
        <w:gridCol w:w="2184"/>
        <w:gridCol w:w="91"/>
        <w:gridCol w:w="3278"/>
        <w:gridCol w:w="3845"/>
      </w:tblGrid>
      <w:tr>
        <w:trPr>
          <w:trHeight w:val="614" w:hRule="exact"/>
        </w:trPr>
        <w:tc>
          <w:tcPr>
            <w:shd w:val="clear" w:color="auto" w:fill="FFFFFF"/>
            <w:tcBorders>
              <w:left w:val="single" w:sz="4"/>
              <w:top w:val="single" w:sz="4"/>
            </w:tcBorders>
            <w:vAlign w:val="top"/>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 п/п</w:t>
            </w:r>
          </w:p>
        </w:tc>
        <w:tc>
          <w:tcPr>
            <w:shd w:val="clear" w:color="auto" w:fill="FFFFFF"/>
            <w:tcBorders>
              <w:left w:val="single" w:sz="4"/>
              <w:top w:val="single" w:sz="4"/>
            </w:tcBorders>
            <w:vAlign w:val="bottom"/>
          </w:tcPr>
          <w:p>
            <w:pPr>
              <w:pStyle w:val="Style9"/>
              <w:framePr w:w="1021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14"/>
              </w:rPr>
              <w:t>Идентификационнь й номер заявки</w:t>
            </w:r>
          </w:p>
        </w:tc>
        <w:tc>
          <w:tcPr>
            <w:shd w:val="clear" w:color="auto" w:fill="FFFFFF"/>
            <w:tcBorders>
              <w:left w:val="single" w:sz="4"/>
              <w:top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Участник закупки</w:t>
            </w:r>
          </w:p>
        </w:tc>
        <w:tc>
          <w:tcPr>
            <w:shd w:val="clear" w:color="auto" w:fill="FFFFFF"/>
            <w:tcBorders>
              <w:left w:val="single" w:sz="4"/>
              <w:right w:val="single" w:sz="4"/>
              <w:top w:val="single" w:sz="4"/>
            </w:tcBorders>
            <w:vAlign w:val="top"/>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Решение</w:t>
            </w:r>
          </w:p>
        </w:tc>
      </w:tr>
      <w:tr>
        <w:trPr>
          <w:trHeight w:val="350" w:hRule="exact"/>
        </w:trPr>
        <w:tc>
          <w:tcPr>
            <w:shd w:val="clear" w:color="auto" w:fill="FFFFFF"/>
            <w:tcBorders>
              <w:left w:val="single" w:sz="4"/>
              <w:top w:val="single" w:sz="4"/>
              <w:bottom w:val="single" w:sz="4"/>
            </w:tcBorders>
            <w:vAlign w:val="center"/>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1</w:t>
            </w:r>
          </w:p>
        </w:tc>
        <w:tc>
          <w:tcPr>
            <w:shd w:val="clear" w:color="auto" w:fill="FFFFFF"/>
            <w:tcBorders>
              <w:left w:val="single" w:sz="4"/>
              <w:top w:val="single" w:sz="4"/>
              <w:bottom w:val="single" w:sz="4"/>
            </w:tcBorders>
            <w:vAlign w:val="center"/>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№3</w:t>
            </w:r>
          </w:p>
        </w:tc>
        <w:tc>
          <w:tcPr>
            <w:shd w:val="clear" w:color="auto" w:fill="FFFFFF"/>
            <w:tcBorders>
              <w:left w:val="single" w:sz="4"/>
              <w:top w:val="single" w:sz="4"/>
              <w:bottom w:val="single" w:sz="4"/>
            </w:tcBorders>
            <w:vAlign w:val="top"/>
          </w:tcPr>
          <w:p>
            <w:pPr>
              <w:framePr w:w="10219"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ООО "ИМПЕРИЯ ОКОН"</w:t>
            </w:r>
          </w:p>
        </w:tc>
        <w:tc>
          <w:tcPr>
            <w:shd w:val="clear" w:color="auto" w:fill="FFFFFF"/>
            <w:tcBorders>
              <w:left w:val="single" w:sz="4"/>
              <w:right w:val="single" w:sz="4"/>
              <w:top w:val="single" w:sz="4"/>
              <w:bottom w:val="single" w:sz="4"/>
            </w:tcBorders>
            <w:vAlign w:val="center"/>
          </w:tcPr>
          <w:p>
            <w:pPr>
              <w:pStyle w:val="Style9"/>
              <w:framePr w:w="10219"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4"/>
              </w:rPr>
              <w:t>Не соответствует</w:t>
            </w:r>
          </w:p>
        </w:tc>
      </w:tr>
    </w:tbl>
    <w:p>
      <w:pPr>
        <w:widowControl w:val="0"/>
        <w:rPr>
          <w:sz w:val="2"/>
          <w:szCs w:val="2"/>
        </w:rPr>
      </w:pPr>
    </w:p>
    <w:p>
      <w:pPr>
        <w:pStyle w:val="Style3"/>
        <w:widowControl w:val="0"/>
        <w:keepNext w:val="0"/>
        <w:keepLines w:val="0"/>
        <w:shd w:val="clear" w:color="auto" w:fill="auto"/>
        <w:bidi w:val="0"/>
        <w:jc w:val="both"/>
        <w:spacing w:before="184" w:after="124" w:line="274" w:lineRule="exact"/>
        <w:ind w:left="460" w:right="480" w:firstLine="0"/>
      </w:pPr>
      <w:r>
        <w:rPr>
          <w:lang w:val="ru-RU" w:eastAsia="ru-RU" w:bidi="ru-RU"/>
          <w:w w:val="100"/>
          <w:spacing w:val="0"/>
          <w:color w:val="000000"/>
          <w:position w:val="0"/>
        </w:rPr>
        <w:t>На основании пункта 2 части 6 статьи 69 Федерального закона № 44-ФЗ заявка на участие в аукционе с идентификационным номером заявки 3, поданная участником аукциона ООО "ИМПЕРИЯ ОКОН" признана не соответствующей требованиям, установленным документацией об аукционе, в связи с несоответствием участника аукциона требованиям, установленным в соответствии с частью 1 статьи 31 Федерального закона № 44-ФЗ.</w:t>
      </w:r>
    </w:p>
    <w:p>
      <w:pPr>
        <w:pStyle w:val="Style3"/>
        <w:widowControl w:val="0"/>
        <w:keepNext w:val="0"/>
        <w:keepLines w:val="0"/>
        <w:shd w:val="clear" w:color="auto" w:fill="auto"/>
        <w:bidi w:val="0"/>
        <w:jc w:val="both"/>
        <w:spacing w:before="0" w:after="0"/>
        <w:ind w:left="460" w:right="0" w:firstLine="0"/>
      </w:pPr>
      <w:r>
        <w:rPr>
          <w:lang w:val="ru-RU" w:eastAsia="ru-RU" w:bidi="ru-RU"/>
          <w:w w:val="100"/>
          <w:spacing w:val="0"/>
          <w:color w:val="000000"/>
          <w:position w:val="0"/>
        </w:rPr>
        <w:t>Основание принятого решения:</w:t>
      </w:r>
    </w:p>
    <w:p>
      <w:pPr>
        <w:pStyle w:val="Style3"/>
        <w:widowControl w:val="0"/>
        <w:keepNext w:val="0"/>
        <w:keepLines w:val="0"/>
        <w:shd w:val="clear" w:color="auto" w:fill="auto"/>
        <w:bidi w:val="0"/>
        <w:jc w:val="both"/>
        <w:spacing w:before="0" w:after="0"/>
        <w:ind w:left="460" w:right="480" w:firstLine="0"/>
      </w:pPr>
      <w:r>
        <w:rPr>
          <w:lang w:val="ru-RU" w:eastAsia="ru-RU" w:bidi="ru-RU"/>
          <w:w w:val="100"/>
          <w:spacing w:val="0"/>
          <w:color w:val="000000"/>
          <w:position w:val="0"/>
        </w:rPr>
        <w:t>В соответствии с требованиями части 1 статьи 31 Федерального закона № 44-ФЗ, пункта 5.2.2 раздела II документации об аукционе на момент подачи заявки в соответствии со ст. 55.8 Градостроительного кодекса Российской Федерации к участнику закупки предъявлялись следующие требования:</w:t>
      </w:r>
    </w:p>
    <w:p>
      <w:pPr>
        <w:pStyle w:val="Style3"/>
        <w:widowControl w:val="0"/>
        <w:keepNext w:val="0"/>
        <w:keepLines w:val="0"/>
        <w:shd w:val="clear" w:color="auto" w:fill="auto"/>
        <w:bidi w:val="0"/>
        <w:jc w:val="both"/>
        <w:spacing w:before="0" w:after="0"/>
        <w:ind w:left="460" w:right="480" w:firstLine="700"/>
      </w:pPr>
      <w:r>
        <w:rPr>
          <w:lang w:val="ru-RU" w:eastAsia="ru-RU" w:bidi="ru-RU"/>
          <w:w w:val="100"/>
          <w:spacing w:val="0"/>
          <w:color w:val="000000"/>
          <w:position w:val="0"/>
        </w:rPr>
        <w:t>наличие выписки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 марта 2019 г. № 86, подтверждающая право участника выполнять работы по строительству, реконструкции, капитальному ремонту, сносу объектов капитального строительства по договору строительного подряда (контракту), по договору подряда (контракту) на осуществление сноса, заключаемым с использованием конкурентных способов заключения договоров (контрактов) - в соответствии со ст.55.8, Градостроительного кодекса Российской Федерации;*</w:t>
      </w:r>
    </w:p>
    <w:p>
      <w:pPr>
        <w:pStyle w:val="Style3"/>
        <w:numPr>
          <w:ilvl w:val="0"/>
          <w:numId w:val="5"/>
        </w:numPr>
        <w:widowControl w:val="0"/>
        <w:keepNext w:val="0"/>
        <w:keepLines w:val="0"/>
        <w:shd w:val="clear" w:color="auto" w:fill="auto"/>
        <w:bidi w:val="0"/>
        <w:jc w:val="both"/>
        <w:spacing w:before="0" w:after="0"/>
        <w:ind w:left="460" w:right="480" w:firstLine="0"/>
      </w:pPr>
      <w:r>
        <w:rPr>
          <w:lang w:val="ru-RU" w:eastAsia="ru-RU" w:bidi="ru-RU"/>
          <w:w w:val="100"/>
          <w:spacing w:val="0"/>
          <w:color w:val="000000"/>
          <w:position w:val="0"/>
        </w:rPr>
        <w:t xml:space="preserve"> членство в саморегулируемой организации в области строительства, реконструкции, капитального ремонта, сноса объектов капитального строительства, имеющей компенсационный фонд обеспечения договорных обязательств;</w:t>
      </w:r>
    </w:p>
    <w:p>
      <w:pPr>
        <w:pStyle w:val="Style3"/>
        <w:numPr>
          <w:ilvl w:val="0"/>
          <w:numId w:val="5"/>
        </w:numPr>
        <w:widowControl w:val="0"/>
        <w:keepNext w:val="0"/>
        <w:keepLines w:val="0"/>
        <w:shd w:val="clear" w:color="auto" w:fill="auto"/>
        <w:bidi w:val="0"/>
        <w:jc w:val="both"/>
        <w:spacing w:before="0" w:after="0"/>
        <w:ind w:left="460" w:right="480" w:firstLine="0"/>
      </w:pPr>
      <w:r>
        <w:rPr>
          <w:lang w:val="ru-RU" w:eastAsia="ru-RU" w:bidi="ru-RU"/>
          <w:w w:val="100"/>
          <w:spacing w:val="0"/>
          <w:color w:val="000000"/>
          <w:position w:val="0"/>
        </w:rPr>
        <w:t xml:space="preserve"> уровень ответственности члена саморегулируемой организации по обязательствам по договорам строительного подряда, договорам подряда на осуществление сноса,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w:t>
      </w:r>
    </w:p>
    <w:p>
      <w:pPr>
        <w:pStyle w:val="Style3"/>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обязательств, соответствует требованиям пункта 2 части 3 статьи 55.8 и части 13 статьи 55.16 Градостроительного кодекса Российской Федерации.</w:t>
      </w:r>
    </w:p>
    <w:p>
      <w:pPr>
        <w:pStyle w:val="Style3"/>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Вышеперечисленные требования не распространяются в случаях, установленных ч. 2.1 и ч. 2.2 ст. 52 Градостроительного кодекса Российской Федерации.</w:t>
      </w:r>
    </w:p>
    <w:p>
      <w:pPr>
        <w:pStyle w:val="Style3"/>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Срок действия выписки из реестра членов саморегулируемой организации составляет один месяц с даты ее выдачи</w:t>
      </w:r>
    </w:p>
    <w:p>
      <w:pPr>
        <w:pStyle w:val="Style3"/>
        <w:tabs>
          <w:tab w:leader="none" w:pos="5660" w:val="left"/>
          <w:tab w:leader="none" w:pos="8886" w:val="right"/>
        </w:tabs>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Вместе с тем, участником данная выписка не представлена. Кроме того, на дату составления настоящего протокола, в соответствии с данными, указанными на официальном сайте Ассоциации «Общероссийская негосударственная</w:t>
        <w:tab/>
        <w:t>некоммерческая</w:t>
        <w:tab/>
        <w:t>организация</w:t>
      </w:r>
    </w:p>
    <w:p>
      <w:pPr>
        <w:pStyle w:val="Style3"/>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 xml:space="preserve">общероссийское отраслевое объединение работодателей «Национальное объединение саморегулируемых организаций, основанных на членстве лиц, осуществляющих строительство», по адресу в сети Интернет: </w:t>
      </w:r>
      <w:r>
        <w:fldChar w:fldCharType="begin"/>
      </w:r>
      <w:r>
        <w:rPr>
          <w:rStyle w:val="CharStyle15"/>
        </w:rPr>
        <w:instrText> HYPERLINK "http://www.nostrov.ru" </w:instrText>
      </w:r>
      <w:r>
        <w:fldChar w:fldCharType="separate"/>
      </w:r>
      <w:r>
        <w:rPr>
          <w:rStyle w:val="Hyperlink"/>
        </w:rPr>
        <w:t>www.nostrov</w:t>
      </w:r>
      <w:r>
        <w:rPr>
          <w:rStyle w:val="Hyperlink"/>
          <w:lang w:val="ru-RU" w:eastAsia="ru-RU" w:bidi="ru-RU"/>
        </w:rPr>
        <w:t>.</w:t>
      </w:r>
      <w:r>
        <w:rPr>
          <w:rStyle w:val="Hyperlink"/>
        </w:rPr>
        <w:t>ru</w:t>
      </w:r>
      <w:r>
        <w:fldChar w:fldCharType="end"/>
      </w:r>
      <w:r>
        <w:rPr>
          <w:lang w:val="ru-RU" w:eastAsia="ru-RU" w:bidi="ru-RU"/>
          <w:w w:val="100"/>
          <w:spacing w:val="0"/>
          <w:color w:val="000000"/>
          <w:position w:val="0"/>
        </w:rPr>
        <w:t>. участник закупки ООО "ИМПЕРИЯ ОКОН", ИНН 5751062384, отсутствует в едином реестре членов СРО в области строительства, реконструкции, капитального ремонта, сноса</w:t>
      </w:r>
    </w:p>
    <w:p>
      <w:pPr>
        <w:pStyle w:val="Style3"/>
        <w:widowControl w:val="0"/>
        <w:keepNext w:val="0"/>
        <w:keepLines w:val="0"/>
        <w:shd w:val="clear" w:color="auto" w:fill="auto"/>
        <w:bidi w:val="0"/>
        <w:spacing w:before="0" w:after="274" w:line="210" w:lineRule="exact"/>
        <w:ind w:left="20" w:right="0" w:firstLine="0"/>
      </w:pPr>
      <w:r>
        <w:rPr>
          <w:lang w:val="ru-RU" w:eastAsia="ru-RU" w:bidi="ru-RU"/>
          <w:w w:val="100"/>
          <w:spacing w:val="0"/>
          <w:color w:val="000000"/>
          <w:position w:val="0"/>
        </w:rPr>
        <w:t>объектов капитального строительства.</w:t>
      </w:r>
    </w:p>
    <w:p>
      <w:pPr>
        <w:pStyle w:val="Style9"/>
        <w:widowControl w:val="0"/>
        <w:keepNext w:val="0"/>
        <w:keepLines w:val="0"/>
        <w:shd w:val="clear" w:color="auto" w:fill="auto"/>
        <w:bidi w:val="0"/>
        <w:spacing w:before="0" w:after="0" w:line="283"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9"/>
        <w:numPr>
          <w:ilvl w:val="0"/>
          <w:numId w:val="7"/>
        </w:numPr>
        <w:widowControl w:val="0"/>
        <w:keepNext w:val="0"/>
        <w:keepLines w:val="0"/>
        <w:shd w:val="clear" w:color="auto" w:fill="auto"/>
        <w:bidi w:val="0"/>
        <w:spacing w:before="0" w:after="0" w:line="283" w:lineRule="exact"/>
        <w:ind w:left="20" w:right="4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9"/>
        <w:numPr>
          <w:ilvl w:val="0"/>
          <w:numId w:val="9"/>
        </w:numPr>
        <w:widowControl w:val="0"/>
        <w:keepNext w:val="0"/>
        <w:keepLines w:val="0"/>
        <w:shd w:val="clear" w:color="auto" w:fill="auto"/>
        <w:bidi w:val="0"/>
        <w:spacing w:before="0" w:after="0" w:line="283" w:lineRule="exact"/>
        <w:ind w:left="20" w:right="40" w:firstLine="700"/>
      </w:pPr>
      <w:r>
        <w:rPr>
          <w:lang w:val="ru-RU" w:eastAsia="ru-RU" w:bidi="ru-RU"/>
          <w:w w:val="100"/>
          <w:spacing w:val="0"/>
          <w:color w:val="000000"/>
          <w:position w:val="0"/>
        </w:rPr>
        <w:t xml:space="preserve"> извещение об осуществлении закупки (с учетом изменений)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- 11.10.2021;</w:t>
      </w:r>
    </w:p>
    <w:p>
      <w:pPr>
        <w:pStyle w:val="Style9"/>
        <w:numPr>
          <w:ilvl w:val="0"/>
          <w:numId w:val="9"/>
        </w:numPr>
        <w:widowControl w:val="0"/>
        <w:keepNext w:val="0"/>
        <w:keepLines w:val="0"/>
        <w:shd w:val="clear" w:color="auto" w:fill="auto"/>
        <w:bidi w:val="0"/>
        <w:spacing w:before="0" w:after="0" w:line="283" w:lineRule="exact"/>
        <w:ind w:left="20" w:right="4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9"/>
        <w:numPr>
          <w:ilvl w:val="0"/>
          <w:numId w:val="9"/>
        </w:numPr>
        <w:widowControl w:val="0"/>
        <w:keepNext w:val="0"/>
        <w:keepLines w:val="0"/>
        <w:shd w:val="clear" w:color="auto" w:fill="auto"/>
        <w:bidi w:val="0"/>
        <w:spacing w:before="0" w:after="0" w:line="283" w:lineRule="exact"/>
        <w:ind w:left="20" w:right="0" w:firstLine="700"/>
      </w:pPr>
      <w:r>
        <w:rPr>
          <w:lang w:val="ru-RU" w:eastAsia="ru-RU" w:bidi="ru-RU"/>
          <w:w w:val="100"/>
          <w:spacing w:val="0"/>
          <w:color w:val="000000"/>
          <w:position w:val="0"/>
        </w:rPr>
        <w:t xml:space="preserve"> начальная (максимальная) цена контракта - 3 906 079,20 руб.;</w:t>
      </w:r>
    </w:p>
    <w:p>
      <w:pPr>
        <w:pStyle w:val="Style9"/>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дата окончания срока подачи заявок - 19.10.2021;</w:t>
      </w:r>
    </w:p>
    <w:p>
      <w:pPr>
        <w:pStyle w:val="Style9"/>
        <w:numPr>
          <w:ilvl w:val="0"/>
          <w:numId w:val="9"/>
        </w:numPr>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 xml:space="preserve"> дата проведения Аукциона - 19.10.2021;</w:t>
      </w:r>
    </w:p>
    <w:p>
      <w:pPr>
        <w:pStyle w:val="Style9"/>
        <w:numPr>
          <w:ilvl w:val="0"/>
          <w:numId w:val="9"/>
        </w:numPr>
        <w:widowControl w:val="0"/>
        <w:keepNext w:val="0"/>
        <w:keepLines w:val="0"/>
        <w:shd w:val="clear" w:color="auto" w:fill="auto"/>
        <w:bidi w:val="0"/>
        <w:spacing w:before="0" w:after="0" w:line="288" w:lineRule="exact"/>
        <w:ind w:left="20" w:right="40" w:firstLine="700"/>
      </w:pPr>
      <w:r>
        <w:rPr>
          <w:lang w:val="ru-RU" w:eastAsia="ru-RU" w:bidi="ru-RU"/>
          <w:w w:val="100"/>
          <w:spacing w:val="0"/>
          <w:color w:val="000000"/>
          <w:position w:val="0"/>
        </w:rPr>
        <w:t xml:space="preserve"> на участие в Аукционе было подано 4 заявки, 2 заявки были признаны соответствующими; 2 - отклонены; победитель Аукциона - ООО «Строй-Энерго» (предложенная цена - 3 476 409,60 рублей).</w:t>
      </w:r>
    </w:p>
    <w:p>
      <w:pPr>
        <w:pStyle w:val="Style9"/>
        <w:numPr>
          <w:ilvl w:val="0"/>
          <w:numId w:val="7"/>
        </w:numPr>
        <w:widowControl w:val="0"/>
        <w:keepNext w:val="0"/>
        <w:keepLines w:val="0"/>
        <w:shd w:val="clear" w:color="auto" w:fill="auto"/>
        <w:bidi w:val="0"/>
        <w:spacing w:before="0" w:after="0" w:line="288" w:lineRule="exact"/>
        <w:ind w:left="20" w:right="40" w:firstLine="700"/>
      </w:pPr>
      <w:r>
        <w:rPr>
          <w:lang w:val="ru-RU" w:eastAsia="ru-RU" w:bidi="ru-RU"/>
          <w:w w:val="100"/>
          <w:spacing w:val="0"/>
          <w:color w:val="000000"/>
          <w:position w:val="0"/>
        </w:rPr>
        <w:t xml:space="preserve"> Пунктом 1 части 1 статьи 31 Закона предусмотрено, что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spacing w:before="0" w:after="0" w:line="288" w:lineRule="exact"/>
        <w:ind w:left="20" w:right="40" w:firstLine="700"/>
      </w:pPr>
      <w:r>
        <w:rPr>
          <w:lang w:val="ru-RU" w:eastAsia="ru-RU" w:bidi="ru-RU"/>
          <w:w w:val="100"/>
          <w:spacing w:val="0"/>
          <w:color w:val="000000"/>
          <w:position w:val="0"/>
        </w:rPr>
        <w:t>В соответствии с частью 6 статьи 31 Закона заказчики не вправе устанавливать требования к участникам закупок в нарушение требований Закона.</w:t>
      </w:r>
    </w:p>
    <w:p>
      <w:pPr>
        <w:pStyle w:val="Style9"/>
        <w:widowControl w:val="0"/>
        <w:keepNext w:val="0"/>
        <w:keepLines w:val="0"/>
        <w:shd w:val="clear" w:color="auto" w:fill="auto"/>
        <w:bidi w:val="0"/>
        <w:spacing w:before="0" w:after="0" w:line="288" w:lineRule="exact"/>
        <w:ind w:left="20" w:right="40" w:firstLine="700"/>
      </w:pPr>
      <w:r>
        <w:rPr>
          <w:lang w:val="ru-RU" w:eastAsia="ru-RU" w:bidi="ru-RU"/>
          <w:w w:val="100"/>
          <w:spacing w:val="0"/>
          <w:color w:val="000000"/>
          <w:position w:val="0"/>
        </w:rPr>
        <w:t>Поэтому, в случае, если в силу законодательства Российской Федерации к лицам, осуществляющим поставку товара, выполнение работ, оказание услуг, являющихся объектом закупки, предъявляются определенные требования, то заказчик обязан установить указанные требования в документации о закупке.</w:t>
      </w:r>
    </w:p>
    <w:p>
      <w:pPr>
        <w:pStyle w:val="Style9"/>
        <w:widowControl w:val="0"/>
        <w:keepNext w:val="0"/>
        <w:keepLines w:val="0"/>
        <w:shd w:val="clear" w:color="auto" w:fill="auto"/>
        <w:bidi w:val="0"/>
        <w:spacing w:before="0" w:after="0" w:line="288" w:lineRule="exact"/>
        <w:ind w:left="20" w:right="40" w:firstLine="700"/>
      </w:pPr>
      <w:r>
        <w:rPr>
          <w:lang w:val="ru-RU" w:eastAsia="ru-RU" w:bidi="ru-RU"/>
          <w:w w:val="100"/>
          <w:spacing w:val="0"/>
          <w:color w:val="000000"/>
          <w:position w:val="0"/>
        </w:rPr>
        <w:t>Согласно статье 55.8 Градостроительный кодекс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изыскании,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Из вышеуказанного следует, что, если объектом закупки является работа, для выполнения которой в соответствии с законодательством Российской Федерации необходимо наличие соответствующего свидетельства саморегулируемой организации, заказчик в извещении о проведении закупки обязан установить требование к участнику о наличии соответствующего свидетельства саморегулируемой организации, предусмотренного законодательством Российской Федерации.</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соответствии с пунктом 5.2.2. Информационной карты аукционной документации, к участнику закупки предъявлялось требование - членство в саморегулируемой организации в области строительства, реконструкции, капитального ремонта, сноса объектов капитального строительства, имеющей компенсационный фонд обеспечения договорных обязательств, что подтверждается выпиской.</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Таким образом, в аукционной документации закреплено требование о предоставлении участником закупки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без каких-либо условий и исключений.</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свою очередь в соответствии с аукционной документацией непредставление такой выписки, является основанием для отказа в допуске к участию в аукционе соответствующего участника закупок.</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Согласно части 1 статьи 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Частью 2 статьи 69 Закона определено, что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 соответствии с частью статьи 69 Закона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9"/>
        <w:numPr>
          <w:ilvl w:val="0"/>
          <w:numId w:val="11"/>
        </w:numPr>
        <w:tabs>
          <w:tab w:leader="none" w:pos="1436" w:val="left"/>
        </w:tabs>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9"/>
        <w:numPr>
          <w:ilvl w:val="0"/>
          <w:numId w:val="11"/>
        </w:numPr>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w:t>
      </w:r>
      <w:r>
        <w:rPr>
          <w:lang w:val="en-US" w:eastAsia="en-US" w:bidi="en-US"/>
          <w:w w:val="100"/>
          <w:spacing w:val="0"/>
          <w:color w:val="000000"/>
          <w:position w:val="0"/>
        </w:rPr>
        <w:t xml:space="preserve">2JI. </w:t>
      </w:r>
      <w:r>
        <w:rPr>
          <w:lang w:val="ru-RU" w:eastAsia="ru-RU" w:bidi="ru-RU"/>
          <w:w w:val="100"/>
          <w:spacing w:val="0"/>
          <w:color w:val="000000"/>
          <w:position w:val="0"/>
        </w:rPr>
        <w:t>(при наличии таких требований) статьи 31 настоящего Федерального закона;</w:t>
      </w:r>
    </w:p>
    <w:p>
      <w:pPr>
        <w:pStyle w:val="Style9"/>
        <w:numPr>
          <w:ilvl w:val="0"/>
          <w:numId w:val="11"/>
        </w:numPr>
        <w:widowControl w:val="0"/>
        <w:keepNext w:val="0"/>
        <w:keepLines w:val="0"/>
        <w:shd w:val="clear" w:color="auto" w:fill="auto"/>
        <w:bidi w:val="0"/>
        <w:spacing w:before="0" w:after="0" w:line="293"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Следовательно, с учетом вышеизложенного, закупочная комиссия заказчика должна была проверять в составах заявок участников аукциона наличие или отсутствие выписки из реестра саморегулируемой организации.</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Как пояснил представитель Заказчика в ходе рассмотрения дела аукционная комиссия наделена полномочиями проверять заявку участника на соответствия требованиям документации, поэтому, аукционная комиссия, руководствуясь положениями документации, была вынуждена отказать в допуске к участию в аукционе Заявителю, который не подтвердил в составе своей заявки членство в саморегулируемой организации в области строительства, реконструкции, капитального ремонта, сноса объектов капитального строительства, имеющей компенсационный фонд обеспечения договорных обязательств.</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 xml:space="preserve">Из пояснений представителя Заказчика также следовало, что в соответствии с данными, указанными на официальном сайте Ассоциации «Общероссийская негосударственная некоммерческая организация - общероссийское отраслевое объединение работодателей «Национальное объединение саморегулируемых организаций, основанных на членстве лиц, осуществляющих строительство», по адресу в сети Интернет: </w:t>
      </w:r>
      <w:r>
        <w:fldChar w:fldCharType="begin"/>
      </w:r>
      <w:r>
        <w:rPr>
          <w:color w:val="000000"/>
        </w:rPr>
        <w:instrText> HYPERLINK "http://www.nostroy.ru" </w:instrText>
      </w:r>
      <w:r>
        <w:fldChar w:fldCharType="separate"/>
      </w:r>
      <w:r>
        <w:rPr>
          <w:rStyle w:val="Hyperlink"/>
          <w:lang w:val="en-US" w:eastAsia="en-US" w:bidi="en-US"/>
          <w:w w:val="100"/>
          <w:spacing w:val="0"/>
          <w:position w:val="0"/>
        </w:rPr>
        <w:t>www.nostroy.ru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участник закупки ООО «ИМПЕРИЯ ОКОН», ИНН 5751062384, отсутствует в едином реестре членов СРО в области строительства, реконструкции, капитального ремонта, сноса объектов капитального строительства.</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Таким образом, аукционная комиссия, действуя в пределах своих полномочий, правомерно отказала в доступе к участию в электронном аукционе Заявителю, в силу несоответствия требованиям аукционной документации и Закона.</w:t>
      </w:r>
    </w:p>
    <w:p>
      <w:pPr>
        <w:pStyle w:val="Style9"/>
        <w:widowControl w:val="0"/>
        <w:keepNext w:val="0"/>
        <w:keepLines w:val="0"/>
        <w:shd w:val="clear" w:color="auto" w:fill="auto"/>
        <w:bidi w:val="0"/>
        <w:spacing w:before="0" w:after="0" w:line="288" w:lineRule="exact"/>
        <w:ind w:left="20" w:right="0" w:firstLine="700"/>
      </w:pPr>
      <w:r>
        <w:rPr>
          <w:lang w:val="ru-RU" w:eastAsia="ru-RU" w:bidi="ru-RU"/>
          <w:w w:val="100"/>
          <w:spacing w:val="0"/>
          <w:color w:val="000000"/>
          <w:position w:val="0"/>
        </w:rPr>
        <w:t>Следовательно, довод Заявителя не находит своего подтверждения.</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Вместе с тем, в рамках проведения внеплановой проверки, Комиссия Орловского У ФАС России рассмотрев довод Заявителя о неправомерных действиях Заказчика по установлению требования к участникам закупки о членстве в СРО, считает его необоснованным ввиду следующего.</w:t>
      </w:r>
    </w:p>
    <w:p>
      <w:pPr>
        <w:pStyle w:val="Style9"/>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Согласно части 2.2 статьи 52 Градостроительного кодекса (далее - ГрК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p>
      <w:pPr>
        <w:pStyle w:val="Style9"/>
        <w:numPr>
          <w:ilvl w:val="0"/>
          <w:numId w:val="13"/>
        </w:numPr>
        <w:tabs>
          <w:tab w:leader="none" w:pos="1067" w:val="left"/>
        </w:tabs>
        <w:widowControl w:val="0"/>
        <w:keepNext w:val="0"/>
        <w:keepLines w:val="0"/>
        <w:shd w:val="clear" w:color="auto" w:fill="auto"/>
        <w:bidi w:val="0"/>
        <w:spacing w:before="0" w:after="0" w:line="288" w:lineRule="exact"/>
        <w:ind w:left="20" w:right="20" w:firstLine="700"/>
      </w:pPr>
      <w:r>
        <w:rPr>
          <w:lang w:val="ru-RU" w:eastAsia="ru-RU" w:bidi="ru-RU"/>
          <w:w w:val="100"/>
          <w:spacing w:val="0"/>
          <w:color w:val="000000"/>
          <w:position w:val="0"/>
        </w:rPr>
        <w:t>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pPr>
        <w:pStyle w:val="Style9"/>
        <w:numPr>
          <w:ilvl w:val="0"/>
          <w:numId w:val="13"/>
        </w:numPr>
        <w:widowControl w:val="0"/>
        <w:keepNext w:val="0"/>
        <w:keepLines w:val="0"/>
        <w:shd w:val="clear" w:color="auto" w:fill="auto"/>
        <w:bidi w:val="0"/>
        <w:spacing w:before="0" w:after="0" w:line="288" w:lineRule="exact"/>
        <w:ind w:left="40" w:right="20" w:firstLine="700"/>
      </w:pPr>
      <w:r>
        <w:rPr>
          <w:lang w:val="ru-RU" w:eastAsia="ru-RU" w:bidi="ru-RU"/>
          <w:w w:val="100"/>
          <w:spacing w:val="0"/>
          <w:color w:val="000000"/>
          <w:position w:val="0"/>
        </w:rPr>
        <w:t xml:space="preserve">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pPr>
        <w:pStyle w:val="Style9"/>
        <w:numPr>
          <w:ilvl w:val="0"/>
          <w:numId w:val="13"/>
        </w:numPr>
        <w:widowControl w:val="0"/>
        <w:keepNext w:val="0"/>
        <w:keepLines w:val="0"/>
        <w:shd w:val="clear" w:color="auto" w:fill="auto"/>
        <w:bidi w:val="0"/>
        <w:spacing w:before="0" w:after="0" w:line="288" w:lineRule="exact"/>
        <w:ind w:left="40" w:right="20" w:firstLine="700"/>
      </w:pPr>
      <w:r>
        <w:rPr>
          <w:lang w:val="ru-RU" w:eastAsia="ru-RU" w:bidi="ru-RU"/>
          <w:w w:val="100"/>
          <w:spacing w:val="0"/>
          <w:color w:val="000000"/>
          <w:position w:val="0"/>
        </w:rPr>
        <w:t xml:space="preserve">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pPr>
        <w:pStyle w:val="Style9"/>
        <w:numPr>
          <w:ilvl w:val="0"/>
          <w:numId w:val="13"/>
        </w:numPr>
        <w:widowControl w:val="0"/>
        <w:keepNext w:val="0"/>
        <w:keepLines w:val="0"/>
        <w:shd w:val="clear" w:color="auto" w:fill="auto"/>
        <w:bidi w:val="0"/>
        <w:spacing w:before="0" w:after="0" w:line="288" w:lineRule="exact"/>
        <w:ind w:left="40" w:right="20" w:firstLine="700"/>
      </w:pPr>
      <w:r>
        <w:rPr>
          <w:lang w:val="ru-RU" w:eastAsia="ru-RU" w:bidi="ru-RU"/>
          <w:w w:val="100"/>
          <w:spacing w:val="0"/>
          <w:color w:val="000000"/>
          <w:position w:val="0"/>
        </w:rPr>
        <w:t xml:space="preserve">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pPr>
        <w:pStyle w:val="Style9"/>
        <w:numPr>
          <w:ilvl w:val="0"/>
          <w:numId w:val="13"/>
        </w:numPr>
        <w:widowControl w:val="0"/>
        <w:keepNext w:val="0"/>
        <w:keepLines w:val="0"/>
        <w:shd w:val="clear" w:color="auto" w:fill="auto"/>
        <w:bidi w:val="0"/>
        <w:spacing w:before="0" w:after="0" w:line="288" w:lineRule="exact"/>
        <w:ind w:left="40" w:right="20" w:firstLine="700"/>
      </w:pPr>
      <w:r>
        <w:rPr>
          <w:lang w:val="ru-RU" w:eastAsia="ru-RU" w:bidi="ru-RU"/>
          <w:w w:val="100"/>
          <w:spacing w:val="0"/>
          <w:color w:val="000000"/>
          <w:position w:val="0"/>
        </w:rPr>
        <w:t xml:space="preserve"> лиц, осуществляющих строительство, реконструкцию, капитальный ремонт объектов, указанных в пунктах 1 - 3 части 17 статьи 51 настоящего Кодекса.</w:t>
      </w:r>
    </w:p>
    <w:p>
      <w:pPr>
        <w:pStyle w:val="Style9"/>
        <w:widowControl w:val="0"/>
        <w:keepNext w:val="0"/>
        <w:keepLines w:val="0"/>
        <w:shd w:val="clear" w:color="auto" w:fill="auto"/>
        <w:bidi w:val="0"/>
        <w:spacing w:before="0" w:after="0" w:line="288" w:lineRule="exact"/>
        <w:ind w:left="40" w:right="20" w:firstLine="700"/>
      </w:pPr>
      <w:r>
        <w:rPr>
          <w:lang w:val="ru-RU" w:eastAsia="ru-RU" w:bidi="ru-RU"/>
          <w:w w:val="100"/>
          <w:spacing w:val="0"/>
          <w:color w:val="000000"/>
          <w:position w:val="0"/>
        </w:rPr>
        <w:t>Заявитель в жалобе указывал на неправомерное установление Заказчиком в аукционной документации требования о наличии членства в СРО, ссылаясь на пункт 4 части 17 статьи 51 ГрК РФ.</w:t>
      </w:r>
    </w:p>
    <w:p>
      <w:pPr>
        <w:pStyle w:val="Style9"/>
        <w:widowControl w:val="0"/>
        <w:keepNext w:val="0"/>
        <w:keepLines w:val="0"/>
        <w:shd w:val="clear" w:color="auto" w:fill="auto"/>
        <w:bidi w:val="0"/>
        <w:spacing w:before="0" w:after="0" w:line="293" w:lineRule="exact"/>
        <w:ind w:left="0" w:right="20" w:firstLine="720"/>
      </w:pPr>
      <w:r>
        <w:rPr>
          <w:lang w:val="ru-RU" w:eastAsia="ru-RU" w:bidi="ru-RU"/>
          <w:w w:val="100"/>
          <w:spacing w:val="0"/>
          <w:color w:val="000000"/>
          <w:position w:val="0"/>
        </w:rPr>
        <w:t xml:space="preserve">При этом, согласно пункту 5 части 2.2 статьи 52 ГрК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лиц, осуществляющих строительство, реконструкцию, капитальный ремонт объектов, </w:t>
      </w:r>
      <w:r>
        <w:rPr>
          <w:rStyle w:val="CharStyle11"/>
        </w:rPr>
        <w:t>указанных в пунктах 1 - 3 части 17 статьи 51</w:t>
      </w:r>
      <w:r>
        <w:rPr>
          <w:lang w:val="ru-RU" w:eastAsia="ru-RU" w:bidi="ru-RU"/>
          <w:w w:val="100"/>
          <w:spacing w:val="0"/>
          <w:color w:val="000000"/>
          <w:position w:val="0"/>
        </w:rPr>
        <w:t xml:space="preserve"> настоящего Кодекса.</w:t>
      </w:r>
    </w:p>
    <w:p>
      <w:pPr>
        <w:pStyle w:val="Style9"/>
        <w:widowControl w:val="0"/>
        <w:keepNext w:val="0"/>
        <w:keepLines w:val="0"/>
        <w:shd w:val="clear" w:color="auto" w:fill="auto"/>
        <w:bidi w:val="0"/>
        <w:spacing w:before="0" w:after="0" w:line="293" w:lineRule="exact"/>
        <w:ind w:left="0" w:right="20" w:firstLine="720"/>
      </w:pPr>
      <w:r>
        <w:rPr>
          <w:lang w:val="ru-RU" w:eastAsia="ru-RU" w:bidi="ru-RU"/>
          <w:w w:val="100"/>
          <w:spacing w:val="0"/>
          <w:color w:val="000000"/>
          <w:position w:val="0"/>
        </w:rPr>
        <w:t>Следовательно, указанный Заявителем пункт 4 части 17 статьи 51 ГрК РФ в указанный перечень не входит.</w:t>
      </w:r>
    </w:p>
    <w:p>
      <w:pPr>
        <w:pStyle w:val="Style9"/>
        <w:widowControl w:val="0"/>
        <w:keepNext w:val="0"/>
        <w:keepLines w:val="0"/>
        <w:shd w:val="clear" w:color="auto" w:fill="auto"/>
        <w:bidi w:val="0"/>
        <w:spacing w:before="0" w:after="294" w:line="298" w:lineRule="exact"/>
        <w:ind w:left="0" w:right="20" w:firstLine="720"/>
      </w:pPr>
      <w:r>
        <w:rPr>
          <w:lang w:val="ru-RU" w:eastAsia="ru-RU" w:bidi="ru-RU"/>
          <w:w w:val="100"/>
          <w:spacing w:val="0"/>
          <w:color w:val="000000"/>
          <w:position w:val="0"/>
        </w:rPr>
        <w:t>На основании вышеизложенного и, руководствуясь пунктом статьей 105 Закона, пунктом 3.16 Административного регламента, Комиссия</w:t>
      </w:r>
    </w:p>
    <w:p>
      <w:pPr>
        <w:pStyle w:val="Style9"/>
        <w:widowControl w:val="0"/>
        <w:keepNext w:val="0"/>
        <w:keepLines w:val="0"/>
        <w:shd w:val="clear" w:color="auto" w:fill="auto"/>
        <w:bidi w:val="0"/>
        <w:jc w:val="left"/>
        <w:spacing w:before="0" w:after="303" w:line="230" w:lineRule="exact"/>
        <w:ind w:left="4300" w:right="0" w:firstLine="0"/>
      </w:pPr>
      <w:r>
        <w:rPr>
          <w:rStyle w:val="CharStyle13"/>
        </w:rPr>
        <w:t>РЕШИЛА:</w:t>
      </w:r>
    </w:p>
    <w:p>
      <w:pPr>
        <w:pStyle w:val="Style9"/>
        <w:numPr>
          <w:ilvl w:val="0"/>
          <w:numId w:val="15"/>
        </w:numPr>
        <w:tabs>
          <w:tab w:leader="none" w:pos="1354" w:val="left"/>
        </w:tabs>
        <w:widowControl w:val="0"/>
        <w:keepNext w:val="0"/>
        <w:keepLines w:val="0"/>
        <w:shd w:val="clear" w:color="auto" w:fill="auto"/>
        <w:bidi w:val="0"/>
        <w:spacing w:before="0" w:after="0" w:line="230" w:lineRule="exact"/>
        <w:ind w:left="0" w:right="0" w:firstLine="720"/>
      </w:pPr>
      <w:r>
        <w:rPr>
          <w:lang w:val="ru-RU" w:eastAsia="ru-RU" w:bidi="ru-RU"/>
          <w:w w:val="100"/>
          <w:spacing w:val="0"/>
          <w:color w:val="000000"/>
          <w:position w:val="0"/>
        </w:rPr>
        <w:t>Жалобу ООО «Империя окон» признать необоснованной.</w:t>
      </w:r>
    </w:p>
    <w:p>
      <w:pPr>
        <w:pStyle w:val="Style9"/>
        <w:numPr>
          <w:ilvl w:val="0"/>
          <w:numId w:val="15"/>
        </w:numPr>
        <w:tabs>
          <w:tab w:leader="none" w:pos="1354" w:val="left"/>
        </w:tabs>
        <w:widowControl w:val="0"/>
        <w:keepNext w:val="0"/>
        <w:keepLines w:val="0"/>
        <w:shd w:val="clear" w:color="auto" w:fill="auto"/>
        <w:bidi w:val="0"/>
        <w:spacing w:before="0" w:after="617" w:line="230" w:lineRule="exact"/>
        <w:ind w:left="0" w:right="0" w:firstLine="720"/>
      </w:pPr>
      <w:r>
        <w:rPr>
          <w:lang w:val="ru-RU" w:eastAsia="ru-RU" w:bidi="ru-RU"/>
          <w:w w:val="100"/>
          <w:spacing w:val="0"/>
          <w:color w:val="000000"/>
          <w:position w:val="0"/>
        </w:rPr>
        <w:t>Заказчику приостановление определения поставщика отменить.</w:t>
      </w:r>
    </w:p>
    <w:p>
      <w:pPr>
        <w:pStyle w:val="Style9"/>
        <w:widowControl w:val="0"/>
        <w:keepNext w:val="0"/>
        <w:keepLines w:val="0"/>
        <w:shd w:val="clear" w:color="auto" w:fill="auto"/>
        <w:bidi w:val="0"/>
        <w:jc w:val="left"/>
        <w:spacing w:before="0" w:after="308" w:line="23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806" w:line="230" w:lineRule="exact"/>
        <w:ind w:left="0" w:right="0" w:firstLine="0"/>
      </w:pPr>
      <w:r>
        <w:rPr>
          <w:lang w:val="ru-RU" w:eastAsia="ru-RU" w:bidi="ru-RU"/>
          <w:w w:val="100"/>
          <w:spacing w:val="0"/>
          <w:color w:val="000000"/>
          <w:position w:val="0"/>
        </w:rPr>
        <w:t>Члены Комиссии:</w:t>
      </w:r>
    </w:p>
    <w:p>
      <w:pPr>
        <w:pStyle w:val="Style9"/>
        <w:widowControl w:val="0"/>
        <w:keepNext w:val="0"/>
        <w:keepLines w:val="0"/>
        <w:shd w:val="clear" w:color="auto" w:fill="auto"/>
        <w:bidi w:val="0"/>
        <w:spacing w:before="0" w:after="0" w:line="283" w:lineRule="exact"/>
        <w:ind w:left="0" w:right="20" w:firstLine="720"/>
      </w:pPr>
      <w:r>
        <w:rPr>
          <w:lang w:val="ru-RU" w:eastAsia="ru-RU" w:bidi="ru-RU"/>
          <w:w w:val="100"/>
          <w:spacing w:val="0"/>
          <w:color w:val="000000"/>
          <w:position w:val="0"/>
        </w:rPr>
        <w:t>Решение о возвращении жалобы без рассмотрения может быть обжаловано в судебном порядке.</w:t>
      </w:r>
    </w:p>
    <w:sectPr>
      <w:pgSz w:w="11906" w:h="16838"/>
      <w:pgMar w:top="1283" w:left="874" w:right="802" w:bottom="10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10.%1"/>
      <w:rPr>
        <w:lang w:val="ru-RU" w:eastAsia="ru-RU" w:bidi="ru-RU"/>
        <w:b w:val="0"/>
        <w:bCs w:val="0"/>
        <w:i w:val="0"/>
        <w:iCs w:val="0"/>
        <w:u w:val="singl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ru-RU" w:eastAsia="ru-RU" w:bidi="ru-RU"/>
      <w:u w:val="single"/>
      <w:w w:val="100"/>
      <w:spacing w:val="0"/>
      <w:color w:val="000000"/>
      <w:position w:val="0"/>
    </w:rPr>
  </w:style>
  <w:style w:type="character" w:customStyle="1" w:styleId="CharStyle12">
    <w:name w:val="Основной текст + Полужирный"/>
    <w:basedOn w:val="CharStyle10"/>
    <w:rPr>
      <w:lang w:val="en-US" w:eastAsia="en-US" w:bidi="en-US"/>
      <w:b/>
      <w:bCs/>
      <w:w w:val="100"/>
      <w:spacing w:val="0"/>
      <w:color w:val="000000"/>
      <w:position w:val="0"/>
    </w:rPr>
  </w:style>
  <w:style w:type="character" w:customStyle="1" w:styleId="CharStyle13">
    <w:name w:val="Основной текст + Интервал 3 pt"/>
    <w:basedOn w:val="CharStyle10"/>
    <w:rPr>
      <w:lang w:val="ru-RU" w:eastAsia="ru-RU" w:bidi="ru-RU"/>
      <w:w w:val="100"/>
      <w:spacing w:val="60"/>
      <w:color w:val="000000"/>
      <w:position w:val="0"/>
    </w:rPr>
  </w:style>
  <w:style w:type="character" w:customStyle="1" w:styleId="CharStyle14">
    <w:name w:val="Основной текст + 10,5 pt"/>
    <w:basedOn w:val="CharStyle10"/>
    <w:rPr>
      <w:lang w:val="ru-RU" w:eastAsia="ru-RU" w:bidi="ru-RU"/>
      <w:sz w:val="21"/>
      <w:szCs w:val="21"/>
      <w:w w:val="100"/>
      <w:spacing w:val="0"/>
      <w:color w:val="000000"/>
      <w:position w:val="0"/>
    </w:rPr>
  </w:style>
  <w:style w:type="character" w:customStyle="1" w:styleId="CharStyle15">
    <w:name w:val="Основной текст (2)"/>
    <w:basedOn w:val="CharStyle4"/>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69"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307"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300" w:line="19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both"/>
      <w:spacing w:before="300" w:after="300" w:line="0" w:lineRule="exact"/>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