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30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333" w:left="6368" w:right="3354" w:bottom="32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Дело № 371оз-21 029/06/64-1136/2021</w:t>
      </w:r>
    </w:p>
    <w:p>
      <w:pPr>
        <w:widowControl w:val="0"/>
        <w:spacing w:line="172" w:lineRule="exact"/>
        <w:rPr>
          <w:sz w:val="14"/>
          <w:szCs w:val="14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168" w:after="93" w:line="283" w:lineRule="exact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317"/>
        <w:ind w:left="0" w:right="0" w:firstLine="0"/>
      </w:pPr>
      <w:r>
        <w:rPr>
          <w:rStyle w:val="CharStyle8"/>
          <w:b/>
          <w:bCs/>
        </w:rPr>
        <w:t>УПРАВЛЕНИЕ Федеральной антимонопольной службы по Архангельской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317"/>
        <w:ind w:left="0" w:right="0" w:firstLine="0"/>
      </w:pPr>
      <w:r>
        <w:rPr>
          <w:rStyle w:val="CharStyle11"/>
        </w:rPr>
        <w:t xml:space="preserve">ул. К. Либкнехта, 2, г. Архангельск, 163000 Тел.: (8182)20-73-21, факс: (8182)21-54-45 </w:t>
      </w:r>
      <w:r>
        <w:rPr>
          <w:rStyle w:val="CharStyle11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1"/>
        </w:rPr>
        <w:instrText> HYPERLINK "mailto:to29@fas.gov.ru"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to29@fas.gov.ru</w:t>
      </w:r>
      <w:r>
        <w:fldChar w:fldCharType="end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197" w:line="200" w:lineRule="exact"/>
        <w:ind w:left="20" w:right="0" w:firstLine="0"/>
      </w:pPr>
      <w:r>
        <w:rPr>
          <w:rStyle w:val="CharStyle14"/>
        </w:rPr>
        <w:t xml:space="preserve">  </w:t>
      </w:r>
      <w:r>
        <w:rPr>
          <w:rStyle w:val="CharStyle14"/>
          <w:vertAlign w:val="subscript"/>
        </w:rPr>
        <w:t>№</w:t>
      </w:r>
    </w:p>
    <w:p>
      <w:pPr>
        <w:pStyle w:val="Style15"/>
        <w:tabs>
          <w:tab w:leader="none" w:pos="2444" w:val="right"/>
        </w:tabs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20" w:right="0" w:firstLine="0"/>
      </w:pPr>
      <w:r>
        <w:rPr>
          <w:rStyle w:val="CharStyle17"/>
        </w:rPr>
        <w:t>На №</w:t>
        <w:tab/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5" w:lineRule="exact"/>
        <w:ind w:left="20" w:right="0" w:firstLine="0"/>
      </w:pPr>
      <w:r>
        <w:rPr>
          <w:rStyle w:val="CharStyle18"/>
          <w:b/>
          <w:bCs/>
        </w:rPr>
        <w:t>Заказчик 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5" w:lineRule="exact"/>
        <w:ind w:left="20" w:right="4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ГБУЗ АО «Первая городская клиническая больница им. Е.Е. Волосевич»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236"/>
        <w:ind w:left="20" w:right="4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163001, г. Архангельск, ул. Суворова, 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"mailto:otdzak@list.ru"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otdzak@list.ru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rStyle w:val="CharStyle18"/>
          <w:b/>
          <w:bCs/>
        </w:rPr>
        <w:t>Уполномоченный орган 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3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Контрактное агентство Архангельской области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163069, г. Архангельск, ул.Выучейского,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Д-18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240" w:line="250" w:lineRule="exact"/>
        <w:ind w:left="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"mailto:dkp@dvinaland.ru"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dkp@dvinaland.ru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rStyle w:val="CharStyle18"/>
          <w:b/>
          <w:bCs/>
        </w:rPr>
        <w:t>Оператор электронной площадки: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«РТС-тендер»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  <w:sectPr>
          <w:type w:val="continuous"/>
          <w:pgSz w:w="11906" w:h="16838"/>
          <w:pgMar w:top="333" w:left="867" w:right="1323" w:bottom="323" w:header="0" w:footer="3" w:gutter="0"/>
          <w:rtlGutter w:val="0"/>
          <w:cols w:num="2" w:space="720" w:equalWidth="0">
            <w:col w:w="4762" w:space="744"/>
            <w:col w:w="4210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121151, г. Москва, набережная Тараса Шевченко, д. 23А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"mailto:ko@rts-tender.ru"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ko@rts-tender.ru</w:t>
      </w:r>
      <w:r>
        <w:fldChar w:fldCharType="end"/>
      </w:r>
    </w:p>
    <w:p>
      <w:pPr>
        <w:widowControl w:val="0"/>
        <w:spacing w:before="5" w:after="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580" w:right="0" w:firstLine="0"/>
      </w:pPr>
      <w:r>
        <w:rPr>
          <w:rStyle w:val="CharStyle18"/>
          <w:b/>
          <w:bCs/>
        </w:rPr>
        <w:t>Заявитель: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5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"МД-КОНСАЛТИНГ"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5580" w:right="5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445051, г. Тольятти, Приморский б-р, д. 26, оф. 5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324" w:line="250" w:lineRule="exact"/>
        <w:ind w:left="558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"mailto:md-consulting63@mail.ru"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md-consulting63@mail.ru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183" w:line="220" w:lineRule="exact"/>
        <w:ind w:left="43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</w:p>
    <w:p>
      <w:pPr>
        <w:pStyle w:val="Style6"/>
        <w:tabs>
          <w:tab w:leader="none" w:pos="8280" w:val="right"/>
          <w:tab w:leader="none" w:pos="968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45" w:line="220" w:lineRule="exact"/>
        <w:ind w:left="2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29 октября 2021 года</w:t>
        <w:tab/>
        <w:t>г.</w:t>
        <w:tab/>
        <w:t>Архангельск</w:t>
      </w:r>
    </w:p>
    <w:p>
      <w:pPr>
        <w:pStyle w:val="Style19"/>
        <w:tabs>
          <w:tab w:leader="none" w:pos="7423" w:val="left"/>
          <w:tab w:leader="none" w:pos="791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7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Письмом ФАС России от 03.04.2020</w:t>
        <w:tab/>
        <w:t>№</w:t>
        <w:tab/>
        <w:t>ИА/27903/20 "О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40" w:right="5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дистанционном рассмотрении жалоб, проведения внеплановых проверок, рассмотрения обращений о включении сведений в отношении участников закупок, поставщиков (подрядчиков, исполнителей) в реестр недобросовестных поставщиков", Комиссия Управления Федеральной антимонопольной службы по Архангельской области по контролю в сфере закупок (далее - Комиссия Архангельского УФАС России) в составе: </w:t>
      </w:r>
      <w:r>
        <w:rPr>
          <w:rStyle w:val="CharStyle24"/>
        </w:rPr>
        <w:t>Председатель комиссии: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Малышева О.С. Врио заместителя руководителя Управления - начальник отдела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4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контроля закупок,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40" w:right="0" w:firstLine="700"/>
      </w:pPr>
      <w:r>
        <w:rPr>
          <w:rStyle w:val="CharStyle25"/>
          <w:b/>
          <w:bCs/>
        </w:rPr>
        <w:t>Члены комиссии: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Вознесенская Н.В. Главный специалист-эксперт отдела контроля закупок;</w:t>
      </w:r>
    </w:p>
    <w:p>
      <w:pPr>
        <w:pStyle w:val="Style19"/>
        <w:tabs>
          <w:tab w:leader="none" w:pos="244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Толстова А.А.</w:t>
        <w:tab/>
        <w:t>Ведущий специалист-эксперт отдела контроля закупок;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240" w:line="274" w:lineRule="exact"/>
        <w:ind w:left="240" w:right="58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пункта 1 части 15 статьи 99, статьи 106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системе»), Постановления Правительства РФ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40" w:right="0" w:firstLine="700"/>
      </w:pPr>
      <w:r>
        <w:rPr>
          <w:rStyle w:val="CharStyle25"/>
          <w:b/>
          <w:bCs/>
        </w:rPr>
        <w:t>в присутствии представителей от: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40" w:right="580" w:firstLine="700"/>
      </w:pPr>
      <w:r>
        <w:rPr>
          <w:rStyle w:val="CharStyle26"/>
        </w:rPr>
        <w:t xml:space="preserve">Заказчика: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Белозеровой Н.В. (доверенность от 31.03.2021 №3032), Маркиной О.Б. (доверенность от 25.08.2021 №8400);</w:t>
      </w:r>
    </w:p>
    <w:p>
      <w:pPr>
        <w:pStyle w:val="Style19"/>
        <w:tabs>
          <w:tab w:leader="none" w:pos="9206" w:val="right"/>
          <w:tab w:leader="none" w:pos="9396" w:val="right"/>
          <w:tab w:leader="none" w:pos="10141" w:val="right"/>
          <w:tab w:leader="none" w:pos="9734" w:val="right"/>
          <w:tab w:leader="none" w:pos="9965" w:val="right"/>
          <w:tab w:leader="none" w:pos="10114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40" w:right="200" w:firstLine="700"/>
      </w:pPr>
      <w:r>
        <w:rPr>
          <w:rStyle w:val="CharStyle26"/>
        </w:rPr>
        <w:t xml:space="preserve">Уполномоченного органа: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Коротковой </w:t>
      </w:r>
      <w:r>
        <w:rPr>
          <w:rStyle w:val="CharStyle26"/>
        </w:rPr>
        <w:t xml:space="preserve">И.Ю.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(доверенность от </w:t>
      </w:r>
      <w:r>
        <w:rPr>
          <w:rStyle w:val="CharStyle26"/>
        </w:rPr>
        <w:t xml:space="preserve">10.06.2021 №68-Д); Заявитель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уведомлен надлежащим образом о времени и месте рассмотрения настоящего дела, своего представителя не направил.</w:t>
        <w:tab/>
        <w:t>Л</w:t>
        <w:tab/>
        <w:t>9</w:t>
        <w:tab/>
        <w:t>Р</w:t>
        <w:tab/>
        <w:t>1</w:t>
        <w:tab/>
        <w:t>П</w:t>
        <w:tab/>
        <w:t>I</w:t>
      </w:r>
    </w:p>
    <w:p>
      <w:pPr>
        <w:pStyle w:val="Style27"/>
        <w:tabs>
          <w:tab w:leader="none" w:pos="9206" w:val="right"/>
          <w:tab w:leader="none" w:pos="9396" w:val="right"/>
          <w:tab w:leader="none" w:pos="9757" w:val="right"/>
          <w:tab w:leader="none" w:pos="9763" w:val="right"/>
          <w:tab w:leader="none" w:pos="10131" w:val="right"/>
          <w:tab w:leader="none" w:pos="10138" w:val="right"/>
        </w:tabs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0" w:right="0" w:firstLine="0"/>
      </w:pPr>
      <w:r>
        <w:rPr>
          <w:rStyle w:val="CharStyle29"/>
        </w:rPr>
        <w:t>ООО «Центр документации»; 163000, г. Архангельск, пл. Ленина, д.4, оф.2; ИНН 2901204236; зак. 19. тир. 5000, 27.08.2021</w:t>
        <w:tab/>
      </w:r>
      <w:r>
        <w:rPr>
          <w:rStyle w:val="CharStyle30"/>
        </w:rPr>
        <w:t>U</w:t>
        <w:tab/>
      </w:r>
      <w:r>
        <w:rPr>
          <w:rStyle w:val="CharStyle30"/>
          <w:lang w:val="ru-RU" w:eastAsia="ru-RU" w:bidi="ru-RU"/>
        </w:rPr>
        <w:t>О</w:t>
        <w:tab/>
      </w:r>
      <w:r>
        <w:rPr>
          <w:rStyle w:val="CharStyle30"/>
        </w:rPr>
        <w:t>U</w:t>
        <w:tab/>
      </w:r>
      <w:r>
        <w:rPr>
          <w:rStyle w:val="CharStyle30"/>
          <w:lang w:val="ru-RU" w:eastAsia="ru-RU" w:bidi="ru-RU"/>
        </w:rPr>
        <w:t>1</w:t>
        <w:tab/>
      </w:r>
      <w:r>
        <w:rPr>
          <w:rStyle w:val="CharStyle30"/>
        </w:rPr>
        <w:t>U</w:t>
        <w:tab/>
      </w:r>
      <w:r>
        <w:rPr>
          <w:rStyle w:val="CharStyle30"/>
          <w:lang w:val="ru-RU" w:eastAsia="ru-RU" w:bidi="ru-RU"/>
        </w:rPr>
        <w:t>1</w:t>
      </w:r>
      <w:r>
        <w:br w:type="page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64" w:lineRule="exact"/>
        <w:ind w:left="4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95" w:line="26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22 октября 2021 года в Архангельское УФАС России - уполномоченный федеральный орган исполнительной власти, осуществляющий контроль в сфере закупок, поступила жалоба ООО "МД-КОНСАЛТИНГ" (далее - Заявитель) на действия заказчика - ГБУЗ АО «Первая городская клиническая больница им. Е.Е. Волосевич» (далее - Заказчик), Уполномоченного органа - Контрактное агентство Архангельской области (далее - Уполномоченный орган) при проведении электронного аукциона на право заключения контракта на оказание охранных услуг (извещение №0124200000621006630). Жалоба подана Заявителем 21.10.2021 в 23:13.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20" w:right="0" w:firstLine="720"/>
      </w:pPr>
      <w:r>
        <w:rPr>
          <w:rStyle w:val="CharStyle25"/>
          <w:b/>
          <w:bCs/>
        </w:rPr>
        <w:t>Содержание жалобы: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Обжалуются действия Заказчика, Уполномоченного органа в связи с утверждением документации об аукционе несоответствующей ФЗ «О контрактной системе».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не согласен с доводами Заявителя по основаниям, изложенным в объяснении по жалобе от 27.10.2021 № б/н.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Уполномоченный орган представил письменные объяснения по жалобе от 26.10.2021 №314-05-1012.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Архангельского УФАС России рассмотрела жалобу и провела на основании части 15 статьи 99 ФЗ «О контрактной системе» внеплановую проверку осуществления закупки с учетом следующего.</w:t>
      </w:r>
    </w:p>
    <w:p>
      <w:pPr>
        <w:pStyle w:val="Style19"/>
        <w:tabs>
          <w:tab w:leader="none" w:pos="951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Постановлением Правительства Архангельской области «Об утверждении Положения о контрактном агентстве Архангельской области» от 18.12.2009 №215-пп контрактное агентство Архангельской области является уполномоченным исполнительным органом государственной власти Архангельской области, осуществляющим: регулирование контрактной системы в сфере закупок товаров, работ, услуг для обеспечения нужд Архангельской области;</w:t>
        <w:tab/>
        <w:t>определение поставщиков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(подрядчиков, исполнителей) для обеспечения нужд Архангельской области; организацию и проведение аукционов по продаже права на заключение договоров аренды отдельных лесных участков.</w:t>
      </w:r>
    </w:p>
    <w:p>
      <w:pPr>
        <w:pStyle w:val="Style19"/>
        <w:tabs>
          <w:tab w:leader="none" w:pos="951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Взаимодействие Уполномоченного органа и заказчиков Архангельской области в сфере закупок для обеспечения нужд Архангельской области осуществляется в порядке, установленном Постановлением Правительства Архангельской области «Порядок взаимодействия контрактного агентства Архангельской</w:t>
        <w:tab/>
        <w:t>области, государственных</w:t>
      </w:r>
    </w:p>
    <w:p>
      <w:pPr>
        <w:pStyle w:val="Style19"/>
        <w:tabs>
          <w:tab w:leader="none" w:pos="951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заказчиков Архангельской области, государственных</w:t>
        <w:tab/>
        <w:t>бюджетных учреждений</w:t>
      </w:r>
    </w:p>
    <w:p>
      <w:pPr>
        <w:pStyle w:val="Style19"/>
        <w:tabs>
          <w:tab w:leader="none" w:pos="951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Архангельской области, муниципальных заказчиков</w:t>
        <w:tab/>
        <w:t>Архангельской области,</w:t>
      </w:r>
    </w:p>
    <w:p>
      <w:pPr>
        <w:pStyle w:val="Style19"/>
        <w:tabs>
          <w:tab w:leader="none" w:pos="951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муниципальных бюджетных учреждений муниципальных</w:t>
        <w:tab/>
        <w:t>образований Архангельской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области' и отдельных юридических лиц при определении поставщиков (подрядчиков, исполнителей) для обеспечения нужд Архангельской области» от 20 декабря 2013 года № 595-пп (далее - Постановление № 595-пп).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Постановлению № 595-пп Заказчик направляет в Уполномоченный орган заявку на осуществление закупки. Уполномоченный орган на основании представленной заявки Заказчика подготавливает документацию об электронном аукционе, и организует осуществление закупки.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14.10.2021 Уполномоченным органом на официальном сайте единой информационной системы в сфере закупок в сети Интернет </w:t>
      </w:r>
      <w:r>
        <w:fldChar w:fldCharType="begin"/>
      </w:r>
      <w:r>
        <w:rPr>
          <w:color w:val="000000"/>
        </w:rPr>
        <w:instrText> HYPERLINK "http://zakupki.gov.ru"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размещено извещение №0124200000621006630 о проведении электронного аукциона и документация об электронном аукционе на право заключения контракта на оказание охранных услуг (далее - документация об аукционе).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- 6 268 806,99 руб.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 - ООО «РТС-тендер».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Пунктом 2 части 1 статьи 64 ФЗ «О контрактной системе» определено, что документация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частями 3 - 6 статьи 66 указанного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Пунктом 1 части 1 статьи 31 ФЗ «О контрактной системе» определено, что при осуществлении закупки заказчик устанавливает единые требования к участникам закупки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Пунктом 2 части 5 статьи 66 ФЗ «О контрактной системе» предусмотрено, что вторая часть заявки на участие в электронном аукционе должна содержать документы, подтверждающие соответствие участника такого аукциона требованиям, установленным пунктом 1 части 1 статьи 31 указанного Федерального закона, или копии этих документов.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Объектом закупки является оказание охранных услуг.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извещению и разделу II «Сведения о товаре, на поставку которого осуществляется закупка, и об условиях контракта» документации об аукционе необходимо оказать услуги частной охраны (выставление поста охраны) и услуги частной охраны (охранный (технический) мониторинг).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Исходя из норм ФЗ «О контрактной системе», Заказчик </w:t>
      </w:r>
      <w:r>
        <w:rPr>
          <w:rStyle w:val="CharStyle31"/>
        </w:rPr>
        <w:t>самостоятельно принимает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31"/>
        </w:rPr>
        <w:t>решение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 формировании лотов, в том числе в отношении предмета закупки, начальной (максимальной) цены контракта, сроков и иных условий поставки товаров, выполнения работ, оказания услуг с учетом установленных законодательством Российской Федерации о контрактной системе в сфере закупок требований.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Как следует из документации об аукционе (пункт 11 раздела I «Общие положения») вторая часть заявки на участие в электронном аукционе для частных охранных организаций, осуществляющих деятельность в соответствии с Федеральным законом от 11.03.1992 г. №2487-1 «О частной детективной и охранной деятельности в Российской Федерации» должна содержать следующие документы и информацию А) копия лицензии или выписка из реестра лицензий на осуществление частной охранной деятельности по следующим видам услуг: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«- охрана объектов и (или) имущества, а также обеспечение внутриобъектового и пропускного режимов на объектах, в отношении которых установлены обязательные для выполнения требования к антитеррористической защищенности, за исключением объектов, предусмотренных частью третьей статьи 11 настоящего Закона;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- охрана объектов и (или) имущества на объектах с осуществлением работ по проектированию, монтажу и эксплуатационному обслуживанию технических средств охраны, перечень видов которых устанавливается Правительством Российской Федерации, и (или) с принятием соответствующих мер реагирования на их сигнальную информацию».</w:t>
      </w:r>
    </w:p>
    <w:p>
      <w:pPr>
        <w:pStyle w:val="Style32"/>
        <w:widowControl w:val="0"/>
        <w:keepNext w:val="0"/>
        <w:keepLines w:val="0"/>
        <w:shd w:val="clear" w:color="auto" w:fill="auto"/>
        <w:bidi w:val="0"/>
        <w:spacing w:before="0" w:after="0"/>
        <w:ind w:left="4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мнению Заявителя, Заказчик не вправе был устанавливать требования по предъявлению в лицензии по услугам на охрану объектов и (или) имущества на объектах с осуществлением работ по проектированию, монтажу и эксплуатационному обслуживанию технических средств охраны, перечень видов которых устанавливается Правительством Российской Федерации, и (или) с принятием соответствующих мер реагирования на их сигнальную информацию, так как данные услуги можно оказать отдельно.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объяснения Заказчика следует, что в рамках исполнения контракта по закупке Исполнитель услуг обязан осуществлять наблюдение за пультом охраны и принятие мер в случае срабатывания сигнализации на объектах, проведение обхода и проверки объектов, сданных на пульт охраны больницы, охрану материальных ценностей в помещениях стационара, сдаваемых под охрану выполнение инструкции поста охраны, и, принимать и фиксировать сигналы средств охраны, поступающих на пульт централизованного наблюдения с Объекта. Кроме того, в Перечне услуг, являющемуся неотъемлемой частью документации об электронном аукционе, указано, что исполнитель услуг осуществляет, в том числе взаимодействие и оказание помощи правоохранительным органам и поддержание сотрудниками охраны на объектах оперативной связи с собственной дежурной службой, дежурной службой медицинского персонала и дежурными службами правоохранительных органов, противопожарной, аварийной, скорой и медицинской службами.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Положению о лицензировании частной охранной деятельности, утвержденного Постановлением Правительства РФ от 23.06.2011 № 498 "О некоторых вопросах осуществления частной детективной (сыскной) и частной охранной деятельности" вышеуказанная функция Исполнителя услуг подлежит лицензированию именно в рамках</w:t>
        <w:br w:type="page"/>
        <w:t>лицензии на осуществление охранной деятельности с лицензионными требованиями относящимися к осуществлению охраны объектов и (или) имущества на объектах с осуществлением работ по проектированию, монтажу и эксплуатационному обслуживанию технических средств охраны и (или) принятием соответствующих мер реагирования на их сигнальную информацию.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Заявителем в подтверждение своего довода каких-либо доказательств, свидетельствующих об ограничении количества участников закупки, не представлено.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таких обстоятельствах факт ограничения количества участников закупки Комиссией Архангельского УФАС России не установлен.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Следовательно, Заказчиком правомерно установлены требования к содержанию и составу второй части заявки на участие в электронном аукционе.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232" w:line="26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довод Заявителя является необоснованным.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проведении внеплановой проверки на основании пункта 1 части 15 статьи 99 ФЗ «О контрактной системе» данной закупки нарушений законодательства РФ о контрактной системе не выявлено.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283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пунктом 1 части 15 статьи 99 и частью 8 статьи 106 ФЗ «О контрактной системе», Комиссия Управления Федеральной антимонопольной службы по Архангельской области по контролю в сфере закупок,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188" w:line="220" w:lineRule="exact"/>
        <w:ind w:left="44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155" w:line="22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 Признать жалобу ООО "МД-КОНСАЛТИНГ" необоснованной.</w:t>
      </w:r>
    </w:p>
    <w:p>
      <w:pPr>
        <w:pStyle w:val="Style34"/>
        <w:tabs>
          <w:tab w:leader="none" w:pos="7820" w:val="right"/>
        </w:tabs>
        <w:widowControl w:val="0"/>
        <w:keepNext w:val="0"/>
        <w:keepLines w:val="0"/>
        <w:shd w:val="clear" w:color="auto" w:fill="auto"/>
        <w:bidi w:val="0"/>
        <w:spacing w:before="0" w:after="365"/>
        <w:ind w:left="20" w:right="0" w:firstLine="0"/>
      </w:pPr>
      <w:r>
        <w:rPr>
          <w:rStyle w:val="CharStyle36"/>
          <w:i/>
          <w:iCs/>
        </w:rPr>
        <w:t>Примечание.</w:t>
      </w:r>
      <w:r>
        <w:rPr>
          <w:rStyle w:val="CharStyle37"/>
          <w:i/>
          <w:iCs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9 статьи 106 ФЗ «О контрактной системе» решение, принятое по результатам рассмотрения жалобы по существу, может быть обжаловано в судебном порядке в течение трех месяцев со дня его принятия.</w:t>
        <w:tab/>
      </w:r>
      <w:r>
        <w:rPr>
          <w:rStyle w:val="CharStyle38"/>
          <w:i/>
          <w:iCs/>
        </w:rPr>
        <w:t>*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298" w:line="220" w:lineRule="exact"/>
        <w:ind w:left="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19"/>
        <w:framePr w:h="210" w:wrap="notBeside" w:vAnchor="text" w:hAnchor="margin" w:x="8486" w:y="524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23"/>
          <w:spacing w:val="0"/>
        </w:rPr>
        <w:t>А.А. Толстова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sectPr>
      <w:type w:val="continuous"/>
      <w:pgSz w:w="11906" w:h="16838"/>
      <w:pgMar w:top="841" w:left="805" w:right="781" w:bottom="58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 (4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1">
    <w:name w:val="Основной текст (4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Основной текст (5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4">
    <w:name w:val="Основной текст (5)"/>
    <w:basedOn w:val="CharStyle1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6">
    <w:name w:val="Основной текст (6)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7">
    <w:name w:val="Основной текст (6)"/>
    <w:basedOn w:val="CharStyle1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8">
    <w:name w:val="Основной текст (2)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0">
    <w:name w:val="Основной текст_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2">
    <w:name w:val="Основной текст (7)_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10"/>
    </w:rPr>
  </w:style>
  <w:style w:type="character" w:customStyle="1" w:styleId="CharStyle23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3"/>
    </w:rPr>
  </w:style>
  <w:style w:type="character" w:customStyle="1" w:styleId="CharStyle24">
    <w:name w:val="Основной текст + Полужирный"/>
    <w:basedOn w:val="CharStyle20"/>
    <w:rPr>
      <w:lang w:val="ru-RU" w:eastAsia="ru-RU" w:bidi="ru-RU"/>
      <w:b/>
      <w:bCs/>
      <w:u w:val="single"/>
      <w:w w:val="100"/>
      <w:spacing w:val="0"/>
      <w:color w:val="000000"/>
      <w:position w:val="0"/>
    </w:rPr>
  </w:style>
  <w:style w:type="character" w:customStyle="1" w:styleId="CharStyle25">
    <w:name w:val="Основной текст (3)"/>
    <w:basedOn w:val="CharStyle7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6">
    <w:name w:val="Основной текст + Полужирный"/>
    <w:basedOn w:val="CharStyle20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8">
    <w:name w:val="Основной текст (8)_"/>
    <w:basedOn w:val="DefaultParagraphFont"/>
    <w:link w:val="Style27"/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</w:rPr>
  </w:style>
  <w:style w:type="character" w:customStyle="1" w:styleId="CharStyle29">
    <w:name w:val="Основной текст (8)"/>
    <w:basedOn w:val="CharStyle2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0">
    <w:name w:val="Основной текст (8) + 9 pt,Интервал 0 pt"/>
    <w:basedOn w:val="CharStyle28"/>
    <w:rPr>
      <w:lang w:val="en-US" w:eastAsia="en-US" w:bidi="en-US"/>
      <w:sz w:val="18"/>
      <w:szCs w:val="18"/>
      <w:w w:val="100"/>
      <w:spacing w:val="10"/>
      <w:color w:val="000000"/>
      <w:position w:val="0"/>
    </w:rPr>
  </w:style>
  <w:style w:type="character" w:customStyle="1" w:styleId="CharStyle31">
    <w:name w:val="Основной текст"/>
    <w:basedOn w:val="CharStyle20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33">
    <w:name w:val="Основной текст (9)_"/>
    <w:basedOn w:val="DefaultParagraphFont"/>
    <w:link w:val="Style32"/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35">
    <w:name w:val="Основной текст (10)_"/>
    <w:basedOn w:val="DefaultParagraphFont"/>
    <w:link w:val="Style34"/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36">
    <w:name w:val="Основной текст (10) + Полужирный"/>
    <w:basedOn w:val="CharStyle35"/>
    <w:rPr>
      <w:lang w:val="ru-RU" w:eastAsia="ru-RU" w:bidi="ru-RU"/>
      <w:b/>
      <w:bCs/>
      <w:u w:val="single"/>
      <w:w w:val="100"/>
      <w:spacing w:val="0"/>
      <w:color w:val="000000"/>
      <w:position w:val="0"/>
    </w:rPr>
  </w:style>
  <w:style w:type="character" w:customStyle="1" w:styleId="CharStyle37">
    <w:name w:val="Основной текст (10) + Полужирный"/>
    <w:basedOn w:val="CharStyle35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38">
    <w:name w:val="Основной текст (10)"/>
    <w:basedOn w:val="CharStyle35"/>
    <w:rPr>
      <w:lang w:val="ru-RU" w:eastAsia="ru-RU" w:bidi="ru-RU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spacing w:line="250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20" w:after="240" w:line="317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center"/>
      <w:spacing w:before="240" w:after="300" w:line="221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2">
    <w:name w:val="Основной текст (5)"/>
    <w:basedOn w:val="Normal"/>
    <w:link w:val="CharStyle13"/>
    <w:pPr>
      <w:widowControl w:val="0"/>
      <w:shd w:val="clear" w:color="auto" w:fill="FFFFFF"/>
      <w:jc w:val="both"/>
      <w:spacing w:before="300" w:after="24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5">
    <w:name w:val="Основной текст (6)"/>
    <w:basedOn w:val="Normal"/>
    <w:link w:val="CharStyle16"/>
    <w:pPr>
      <w:widowControl w:val="0"/>
      <w:shd w:val="clear" w:color="auto" w:fill="FFFFFF"/>
      <w:jc w:val="both"/>
      <w:spacing w:before="240"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19">
    <w:name w:val="Основной текст"/>
    <w:basedOn w:val="Normal"/>
    <w:link w:val="CharStyle20"/>
    <w:pPr>
      <w:widowControl w:val="0"/>
      <w:shd w:val="clear" w:color="auto" w:fill="FFFFFF"/>
      <w:spacing w:after="240" w:line="245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1">
    <w:name w:val="Основной текст (7)"/>
    <w:basedOn w:val="Normal"/>
    <w:link w:val="CharStyle22"/>
    <w:pPr>
      <w:widowControl w:val="0"/>
      <w:shd w:val="clear" w:color="auto" w:fill="FFFFFF"/>
      <w:spacing w:line="25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10"/>
    </w:rPr>
  </w:style>
  <w:style w:type="paragraph" w:customStyle="1" w:styleId="Style27">
    <w:name w:val="Основной текст (8)"/>
    <w:basedOn w:val="Normal"/>
    <w:link w:val="CharStyle28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</w:rPr>
  </w:style>
  <w:style w:type="paragraph" w:customStyle="1" w:styleId="Style32">
    <w:name w:val="Основной текст (9)"/>
    <w:basedOn w:val="Normal"/>
    <w:link w:val="CharStyle33"/>
    <w:pPr>
      <w:widowControl w:val="0"/>
      <w:shd w:val="clear" w:color="auto" w:fill="FFFFFF"/>
      <w:jc w:val="both"/>
      <w:spacing w:line="264" w:lineRule="exact"/>
      <w:ind w:firstLine="720"/>
    </w:pPr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34">
    <w:name w:val="Основной текст (10)"/>
    <w:basedOn w:val="Normal"/>
    <w:link w:val="CharStyle35"/>
    <w:pPr>
      <w:widowControl w:val="0"/>
      <w:shd w:val="clear" w:color="auto" w:fill="FFFFFF"/>
      <w:jc w:val="both"/>
      <w:spacing w:before="240" w:after="360" w:line="226" w:lineRule="exact"/>
    </w:pPr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