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5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8" w:left="1388" w:right="6975" w:bottom="7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1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0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Всш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36" w:val="center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«СтарТендер»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Шоссе Южное, д. 163, корпус 2.3, оф. 15, г. Тольятти, Самарская область, 445000 </w:t>
      </w:r>
      <w:r>
        <w:fldChar w:fldCharType="begin"/>
      </w:r>
      <w:r>
        <w:rPr>
          <w:color w:val="000000"/>
        </w:rPr>
        <w:instrText> HYPERLINK "mailto:info@star-tender.ru"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info@star-tender.ru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 - Волгоградское региональное отделение Фонда социального страхования РФ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Донецкая, д. 16,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"mailto:info@ro34.fss.ru"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info@ro34.fss.ru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 наб. Тараса Шевченко, 23 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728" w:left="1165" w:right="1165" w:bottom="757" w:header="0" w:footer="3" w:gutter="0"/>
          <w:rtlGutter w:val="0"/>
          <w:cols w:num="2" w:space="720" w:equalWidth="0">
            <w:col w:w="3989" w:space="1141"/>
            <w:col w:w="444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121151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034/06/105-1142/2021 о нарушении законодательства РФ о контрактной системе</w:t>
      </w:r>
    </w:p>
    <w:p>
      <w:pPr>
        <w:pStyle w:val="Style9"/>
        <w:tabs>
          <w:tab w:leader="none" w:pos="92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 октября 2021 года</w:t>
        <w:tab/>
        <w:t>Волгоград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Слащева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M.JI.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члена Комиссии, помощник руководителя Управления; 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 при участии: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Вихрова А.В. - представителя ГУ - Волгоградское региональное отделение Фонда социального страхования РФ на основании доверенности от 11.01.2021 № 1;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Бабайцевой М.А. - представителя ГУ - Волгоградское региональное отделение Фонда социального страхования РФ на основании доверенности от </w:t>
      </w:r>
      <w:r>
        <w:rPr>
          <w:rStyle w:val="CharStyle13"/>
        </w:rPr>
        <w:t>12</w:t>
      </w:r>
      <w:r>
        <w:rPr>
          <w:rStyle w:val="CharStyle14"/>
        </w:rPr>
        <w:t>.</w:t>
      </w:r>
      <w:r>
        <w:rPr>
          <w:rStyle w:val="CharStyle13"/>
        </w:rPr>
        <w:t>01.2021</w:t>
      </w:r>
      <w:r>
        <w:rPr>
          <w:rStyle w:val="CharStyle14"/>
        </w:rPr>
        <w:t xml:space="preserve"> № </w:t>
      </w:r>
      <w:r>
        <w:rPr>
          <w:rStyle w:val="CharStyle13"/>
        </w:rPr>
        <w:t>11</w:t>
      </w:r>
      <w:r>
        <w:rPr>
          <w:rStyle w:val="CharStyle14"/>
        </w:rPr>
        <w:t>;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Руденко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Jl.O.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представителя общества с ограниченной ответственностью «СтарТендер» на основании доверенности от 10.09.2021 № без н/д,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«СтарТендер» вх. № 11904 от 22.10.2021 на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0229100000121000170),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5" w:line="240" w:lineRule="exact"/>
        <w:ind w:left="4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поступила жалоба ООО «СтарТендер» вх. № 11904 от 22.10.2021 на 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0229100000121000170).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15.10.2021 были опубликованы извещение и документация о проведении электронного аукциона «Поставка инвалидам специальных средств при нарушениях функций выделения» (номер извещения 0229100000121000170). Заказчик - ГУ - Волгоградское региональное отделение Фонда социального страхования РФ (далее - заказчик). Начальная (максимальная) цена контракта - 2 309 614,00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Заказчиком нарушен п. 2 ст. 42 Закона о контрактной системе и не указаны конкретные показатели, закупаемого товара.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письменных пояснениях указал следующее: «В соответствии со статьей 10 Федерального закона от 24.11.1995 № 181 -ФЗ «О социальной защите инвалидов в Российской Федерации» (далее - Закон о соцзащите инвалидов) государство гарантирует инвалидам проведение реабилитационных мероприятий, получение технических средств и услуг, предусмотренных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бюджета. Федеральный перечень реабилитационных мероприятий, технических средств реабилитации и услуг, предоставляемых инвалиду, утверждается Правительством Российской Федерации (Распоряжение Правительства РФ от 30.12.2005 № 2347-р «О федеральном перечне реабилитационных мероприятий, технических средств реабилитации и услуг, предоставляемых инвалиду»).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статье 11 Закона о соцзащите инвалидов индивидуальная программа реабилитации или абилитации инвалида - это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компенсацшо нарушенных функций организма, формирование, восстановление, компенсацию способностей инвалида к выполнению определенных видов деятельности. Федеральные учреждения медико-социальной экспертизы могут при необходимости привлекать к разработке индивидуальных программ реабилитации или абилитации инвалидов организации, осуществляющие деятельность по реабилитации, абилитации инвалидов. Порядок разработки и реализации индивидуальной программы реабилитации или абилитации инвалида и ее форма определяются федеральным органом исполнительной власти, осуществляющим функции по выработке и реализации государственной политики и нормативно</w:t>
        <w:softHyphen/>
        <w:t>правовому регулированию в сфере социальной защиты населения.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власти, органами местного самоуправления, а также организациями независимо от организационно-правовых форм и форм собственности.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Приказу Минтруда России от 13.06.2017 № 486н «Об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форм» (далее - Приказ № 486н) индивидуальная программа реабилитации или абилитации инвалида (далее - ИПРА инвалида) и индивидуальная программа реабилитации или абилитации ребенка- инвалида (далее - ИПРА ребенка-инвалида), разрабатываются и выдаются федеральными государственными учреждениями медико-социальной экспертизы: Федеральным бюро медико-социальной экспертизы (далее - Федеральное бюро), главными бюро медико-социальной экспертизы (далее - главные бюро) и их филиалами - бюро медико-социальной экспертизы в городах и районах (далее - бюро).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ИПРА инвалида (ИПРА ребенка-инвалида) содержит реабилитационные или абилитационные мероприятия, технические средства реабилитации и услуги, предоставляемые инвалиду (ребенку-инвалиду) бесплатно в соответствии с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2347-р (Собрание законодательства Российской Федерации, 2006,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4, ст. 453; 2010,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47, ст. 6186; 2013,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12, ст. 1319; 2014,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38, ст. 5096), реабилитационные или абилитационные мероприятия, технические средства реабилитации, товары и услуги, в оплате которых принимают участие сам инвалид либо другие лица и организации независимо от организационно-правовых форм, а также рекомендуемые товары и услуги, предназначенные для социальной адаптации и интеграции в общество детей-инвалидов за счет средств (части средств) материнского (семейного) капитала.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10 Приказа № 486н ИПРА инвалида (ИПРА ребенка- инвалида) формируется в форме электронного документа и (или) на бумажном носителе. С 1 января 2021 г. ИПРА инвалида (ИПРА ребенка-инвалида) формируется только в форме электронного документа.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Формы индивидуальной программы реабилитации или абилитации инвалида и ребенка-инвалида, выдаваемой федеральными государственными учреждениями медико-социальной экспертизы, утверждены Приказом № 486н (Приложения №2 и №3).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разделу III Приложения №1 к Приказу № 486н при реализации ИПРА инвалида (ИПРА ребенка-инвалида) обеспечиваются последовательность, комплексность и непрерывность в осуществлении реабилитационных или абилитационных мероприятий, динамическое наблюдение и контроль за эффективностью проведенных мероприятий.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государственное учреждение медико-социальной экспертизы направляет выписку из ИПРА инвалида (ИПРА ребенка-инвалида) (далее - Выписка) не позднее трех дней с даты формирования ИПРА инвалида (ИПРА ребенка-инвалида) в соответствующие органы исполнительной власти, органы местного самоуправления, организации, независимо от организационно-правовых форм и форм собственности, на которые возложено проведение реабилитационных или абилитационных мероприятий, предусмотренных ИПРА инвалида (ИПРА ребенка-инвалида), посредством размещения соответствующих сведений в </w:t>
      </w:r>
      <w:r>
        <w:rPr>
          <w:rStyle w:val="CharStyle15"/>
        </w:rPr>
        <w:t>федеральной государственной информационной системе «Федеральный реестр инвалидов».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rStyle w:val="CharStyle16"/>
          <w:b w:val="0"/>
          <w:bCs w:val="0"/>
        </w:rPr>
        <w:t xml:space="preserve">Выписки Федеральной государственной информационной системой «Федеральный реестр инвалидов» формируются в автоматическом режиме и направляются в том числе 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Региональное отделение - в части обеспечения техническими средствами реабилитации, предоставляемыми инвалиду (ребенку-инвалиду) за счет средств федерального бюджета.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Административный регламент, утвержденный Приказом ФСС РФ от 16.05.2019 № 256, предоставления Фондом социального страхования Российской Федерации по предоставлению государственной услуги по обеспечению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 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 (далее соответственно - государственная услуга, Административный регламент) устанавливает порядок, сроки и последовательность административных процедур (действий), осуществляемых территориальными органами Фонда социального страхования Российской Федерации (далее соответственно - территориальные органы Фонда, Фонд) в процессе предоставления государственной услуги, порядок взаимодействия между территориальными органами Фонда и их должностными лицами, порядок взаимодействия с заявителями, органами государственной власти, и разработан в целях повышения качества предоставления и доступности государственной услуги, создания благоприятных условий для получателей государственной услуги.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18 Административного регламента для получения государственной услуги заявителем представляются (направляются) следующие документы: заявление;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документ, удостоверяющий личность заявителя (в случае, если за предоставлением государственной услуги обращается представитель заявителя, то представляется документ, удостоверяющий личность представителя, а также документ, удостоверяющий его полномочия);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свидетельство о рождении (для детей до 14 лет);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документы, подтверждающие место жительства (место пребывания или фактического проживания) инвалида (ветерана);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заключение врачебной 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(в</w:t>
      </w:r>
    </w:p>
    <w:p>
      <w:pPr>
        <w:pStyle w:val="Style9"/>
        <w:tabs>
          <w:tab w:leader="none" w:pos="6887" w:val="left"/>
          <w:tab w:leader="none" w:pos="75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случае обращения за получением государственной услуги, результаты предоставления которой указаны в подпунктах "а",</w:t>
        <w:tab/>
        <w:t>"г",</w:t>
        <w:tab/>
        <w:t>"д" пункта 10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Административного регламента);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документы, подтверждающие понесенные заявителем расходы (в случае обращения за получением государственной услуги, результаты предоставления которой указаны в подпунктах "г" и "д" пункта 10 Административного регламента). Для выплаты компенсации расходов на оплату проезда, подтвержденных проездными документами, также представляется письменное подтверждение необходимости поездки, выданное организацией, в которую выдано направление (в случае, если использовались виды транспорта, указанные в пункте 13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№ 240, но не более 4 поездок к месту нахождения организации и 4 поездок в обратном направлении);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паспорт на собаку-проводника по форме, утвержденной приказом Министерства труда и социальной защиты Российской Федерации от 22 июня 2015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386н "Об утверждении формы документа, подтверждающего специальное обучение собаки-проводника, и порядка его выдачи" (в случае обращения за получением государственной услуги, результат предоставления которой указан в подпункте "е" пункта 10 Административного регламента);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копия справки об осмотре собаки-проводника, выданной государственным ветеринарным учреждением не ранее чем за 30 дней до подачи заявления в части выплаты ежегодной денежной компенсации расходов на содержание и ветеринарное обслуживание собак-проводников (в случае обращения за получением государственной услуги, результат предоставления которой указан в подпункте "е" пункта 10 Административного регламента);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проездные документы, подтверждающие понесенные заявителем расходы (в случае обращения за получением государственной услуги, результат предоставления которой указан в подпункте "б" пункта 10 Административного регламента, в части выплаты компенсации расходов по проезду инвалида и сопровождающего его лица для получения собаки-проводника к месту нахождения отобранной организации и обратно, в том числе по провозу собаки-проводника);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документ, подтверждающий участие в официальных спортивных мероприятиях (для инвалидов-спортсменов либо лиц, представляющих их интересы, в случае обращения в территориальный орган Фонда, осуществляющий обеспечение инвалидов техническими средствами (изделиями) в субъекте Российской Федерации, на территории которого проводятся официальные спортивные мероприятия, включенные в Единый календарный план межрегиональных, всероссийских и международных физкультурных мероприятий и спортивных мероприятий, в которых они принимают участие, в целях получения компенсаций, указанных в подпунктах "г" и "ж" пункта 10 Административного регламента).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21 Административного регламента для предоставления государственной услуги, результат предоставления которой указан в подпунктах "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"-"г" пункта 10 Административного регламента, используются сведения, подтверждающие регистрацию инвалида (ветерана) в системе индивидуального (персонифицированного) учета в соответствии с законодательством Российской</w:t>
      </w:r>
    </w:p>
    <w:p>
      <w:pPr>
        <w:pStyle w:val="Style9"/>
        <w:tabs>
          <w:tab w:leader="none" w:pos="1572" w:val="left"/>
          <w:tab w:leader="none" w:pos="8193" w:val="center"/>
          <w:tab w:leader="none" w:pos="8187" w:val="center"/>
          <w:tab w:leader="none" w:pos="93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</w:t>
        <w:tab/>
        <w:t>об индивидуальном (персонифицированном)</w:t>
        <w:tab/>
        <w:t>учете</w:t>
        <w:tab/>
        <w:t>в</w:t>
        <w:tab/>
        <w:t>системе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обязательного пенсионного страхования, сведения из индивидуальной программы реабилитации или абилитации инвалида, подтверждающие необходимость предоставления инвалиду технического средства, находящиеся в распоряжении Пенсионного фонда Российской Федерации.</w:t>
      </w:r>
    </w:p>
    <w:p>
      <w:pPr>
        <w:pStyle w:val="Style9"/>
        <w:tabs>
          <w:tab w:leader="none" w:pos="1572" w:val="left"/>
          <w:tab w:leader="none" w:pos="7865" w:val="right"/>
          <w:tab w:leader="none" w:pos="8193" w:val="center"/>
          <w:tab w:leader="none" w:pos="93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22 Административного регламента сведения, подтверждающие регистрацию инвалида (ветерана) в системе индивидуального (персонифицированного) учета в соответствии с законодательством Российской Федерации</w:t>
        <w:tab/>
        <w:t>об индивидуальном (персонифицированном)</w:t>
        <w:tab/>
        <w:t>учете</w:t>
        <w:tab/>
        <w:t>в</w:t>
        <w:tab/>
        <w:t>системе</w:t>
      </w:r>
    </w:p>
    <w:p>
      <w:pPr>
        <w:pStyle w:val="Style9"/>
        <w:tabs>
          <w:tab w:leader="none" w:pos="1572" w:val="left"/>
          <w:tab w:leader="none" w:pos="7865" w:val="right"/>
          <w:tab w:leader="none" w:pos="8193" w:val="center"/>
          <w:tab w:leader="none" w:pos="93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обязательного пенсионного страхования, сведения из индивидуальной программы реабилитации или абилитации инвалида (в случае, если указанные сведения не были предоставлены заявителем) в течение 2 рабочих дней с момента поступления заявления</w:t>
        <w:tab/>
        <w:t>запрашиваются территориальным органом</w:t>
        <w:tab/>
        <w:t>Фонда</w:t>
        <w:tab/>
        <w:t>в</w:t>
        <w:tab/>
        <w:t>рамках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межведомственного электронного взаимодействия.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23, 24 Административного регламента заявитель либо его представитель вправе по собственной инициативе представить в территориальный орган Фонда документ, подтверждающий регистрацию инвалида (ветерана) в системе индивидуального (персонифицированного) учета, на бумажном носителе или в форме электронного документа и (или) посредством информационной системы «личный кабинет зарегистрированного лица» в соответствии с законодательством Российской Федерации об индивидуальном (персонифицированном) учете в системе обязательного пенсионного страхования, индивидуальную программу реабилитации или абилитации инвалида, содержащую рекомендации по обеспечению техническими средствами.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этом случае указанные сведения в рамках межведомственного электронного взаимодействия не запрашиваются. Непредставление заявителем сведений, указанных в п. 23 Административного регламента, не является основанием для отказа в предоставлении заявителю государственной услуги.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содержания п. 25 Административного регламента истребование иных документов и информации у заявителя запрещено.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вся информация по техническим средствам реабилитации содержится только в ИПРА инвалида. Истребование иной информации у инвалида или каких-либо организаций действующим законодательством не предусмотрено.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ИПРА инвалида в части специальных средств при нарушениях функций выделения - наборы-мочеприемники для самокатетеризации: мешок-мочеприемник, катетер лубрицированный для самокатетеризации, указывается наименование в соответствии с Приказом Минтруда России от 13.02.2018 № 86н «Об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№2347-р» и количество. Размер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TCP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ИПРА инвалида отсутствует.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связи с тем, что потребность заказчика, сформированная на дату объявления закупки, может значительно отличаться от потребности на дату заключения государственного контракта (смерть получателей, вновь обратившиеся и иные причины), определить конкретные значения типов и размеров катетеров не представляется возможным.</w:t>
      </w:r>
    </w:p>
    <w:p>
      <w:pPr>
        <w:pStyle w:val="Style11"/>
        <w:tabs>
          <w:tab w:leader="none" w:pos="936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указанных выше обстоятельств у Заказчика при формировании технического задания на закупку отсутствуют сведения о размере наборов-мочеприемников для самокатетеризации:</w:t>
        <w:tab/>
        <w:t>мешок-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мочеприемник, катетер лубрицированный для самокатетеризации, но есть информация о количестве.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Региональным отделением 15.10.2021 размещен электронный аукцион № 0229100000121000170 на поставку инвалидам специальных средств при нарушениях функций выделения: наборы-мочеприемники для самокатетеризации: мешок-мочеприемник, катетер лубрицированный для самокатетеризации.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5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РФ от 07.04.2008 № 240 «О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 ортопедическими изделиями» (далее - Постановление № 240) уполномоченный орган рассматривает заявление, указанное в пункте 4 настоящих Правил, в 15- 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с даты его поступления и в письменной форме уведомляет инвалида (ветерана) о постановке на учет по обеспечению техническим средством (изделием). При наличии действующего государственного контракта на обеспечение техническим средством (изделием) в соответствии с заявлением, указанным в пункте 4 настоящих Правил, одновременно с уведомлением 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высылает (выдает) инвалиду (ветерану) направление на получение либо изготовление технического средства (изделия) (далее - направление)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 (далее - организация, в которую выдано направление). В направлении уполномоченным органом указывается срок его действия, который устанавливается в пределах срока действия государственного контракта на обеспечение инвалида (ветерана) техническим средством (изделием) и составляет не менее половины срока действия указанного контракта;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необходимости проезда инвалида (ветерана) к месту нахождения организации, в которую выдано направление, и обратно высылает (выдает) ему специальный талон на право бесплатного получения проездных документов для проезда на железнодорожном транспорте (далее - специальный талон) и (или) именное направление для бесплатного получения проездных документов на проезд автомобильным, воздушным, водным транспортом транспортных организаций, отобранных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- именное направление), для осуществления проезда в порядке, установленном пунктом 12 настоящих Правил.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отсутствии действующего государственного контракта на обеспечение инвалида (ветерана) техническим средством (изделием) в</w:t>
        <w:br w:type="page"/>
        <w:t xml:space="preserve">соответствии с заявлением, указанным в пункте 4 настоящих Правил, уполномоченный орган высылает (выдает) инвалиду (ветерану) документы, предусмотренные настоящим пунктом в 7-дневный срок с даты заключения такого государственного контракта, </w:t>
      </w:r>
      <w:r>
        <w:rPr>
          <w:rStyle w:val="CharStyle10"/>
          <w:b w:val="0"/>
          <w:bCs w:val="0"/>
        </w:rPr>
        <w:t>при этом извещение о проведении закупки соответствующего технического средства (изделия) должно быть размещено уполномоченным органом в единой информационной системе в сфере закупок не позднее 30 календарных дней с даты подачи инвалидом (ветераном) заявления, указанного в пункте 4 настоящих Правил.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согласно Постановлению № 240 Заказчику необходимо </w:t>
      </w:r>
      <w:r>
        <w:rPr>
          <w:rStyle w:val="CharStyle15"/>
        </w:rPr>
        <w:t xml:space="preserve">в 7- дневный срок с даты заключения такого государственного контракта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высылать (выдать) инвалиду направление.</w:t>
      </w:r>
    </w:p>
    <w:p>
      <w:pPr>
        <w:pStyle w:val="Style9"/>
        <w:tabs>
          <w:tab w:leader="none" w:pos="93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необходимость соблюдения сроков выдачи</w:t>
        <w:tab/>
        <w:t>инвалидам</w:t>
      </w:r>
    </w:p>
    <w:p>
      <w:pPr>
        <w:pStyle w:val="Style9"/>
        <w:tabs>
          <w:tab w:leader="none" w:pos="93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направлений и непрогнозируемое изменение потребности</w:t>
        <w:tab/>
        <w:t>заказчика,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сформированной на дату объявления закупки по сравнению с потребностью на дату заключения государственного контракта, предоставление Поставщиком на выборочную проверку части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TCP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какой-либо пропорции с разбивкой по типам (мужской и женский) не представляется возможным».</w:t>
      </w:r>
    </w:p>
    <w:p>
      <w:pPr>
        <w:pStyle w:val="Style9"/>
        <w:tabs>
          <w:tab w:leader="none" w:pos="93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с учетом специфики закупки, обусловленной нормативно-правовыми актами о социальной защите населения</w:t>
        <w:tab/>
        <w:t>правомерно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установлены требования документации о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 довод жалобы не нашел своего подтверждения и является необоснованным.</w:t>
      </w:r>
    </w:p>
    <w:p>
      <w:pPr>
        <w:pStyle w:val="Style9"/>
        <w:tabs>
          <w:tab w:leader="none" w:pos="93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</w:t>
        <w:tab/>
        <w:t>Главой 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0" w:line="240" w:lineRule="exact"/>
        <w:ind w:left="4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  <w:sectPr>
          <w:type w:val="continuous"/>
          <w:pgSz w:w="11906" w:h="16838"/>
          <w:pgMar w:top="1494" w:left="1397" w:right="1091" w:bottom="6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«СтарТендер» вх. № 11904 от 22.10.2021 на положения аукционной документации при проведении закупки «Поставка инвалидам специальных средств при нарушениях функций выделения» (номер извещения 0229100000121000170)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054" w:h="2055" w:wrap="around" w:vAnchor="text" w:hAnchor="margin" w:x="7455" w:y="-358"/>
        <w:widowControl w:val="0"/>
        <w:keepNext w:val="0"/>
        <w:keepLines w:val="0"/>
        <w:shd w:val="clear" w:color="auto" w:fill="auto"/>
        <w:bidi w:val="0"/>
        <w:jc w:val="left"/>
        <w:spacing w:before="0" w:after="0" w:line="684" w:lineRule="exact"/>
        <w:ind w:left="100" w:right="0" w:firstLine="280"/>
      </w:pPr>
      <w:r>
        <w:rPr>
          <w:rStyle w:val="CharStyle17"/>
          <w:spacing w:val="0"/>
        </w:rPr>
        <w:t xml:space="preserve">С.В. Моисеев </w:t>
      </w:r>
      <w:r>
        <w:rPr>
          <w:rStyle w:val="CharStyle17"/>
          <w:vertAlign w:val="superscript"/>
          <w:spacing w:val="0"/>
        </w:rPr>
        <w:t>Г</w:t>
      </w:r>
      <w:r>
        <w:rPr>
          <w:rStyle w:val="CharStyle17"/>
          <w:spacing w:val="0"/>
        </w:rPr>
        <w:t>-^М.Л. Слащева А.Д. Гейбатова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2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812" w:left="1188" w:right="7657" w:bottom="8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15" w:line="295" w:lineRule="exact"/>
        <w:ind w:left="0" w:right="2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А.Д. </w:t>
      </w:r>
      <w:r>
        <w:rPr>
          <w:rStyle w:val="CharStyle20"/>
        </w:rPr>
        <w:t>(</w:t>
      </w:r>
      <w:r>
        <w:rPr>
          <w:rStyle w:val="CharStyle21"/>
        </w:rPr>
        <w:t>8442</w:t>
      </w:r>
      <w:r>
        <w:rPr>
          <w:rStyle w:val="CharStyle20"/>
        </w:rPr>
        <w:t xml:space="preserve">) </w:t>
      </w:r>
      <w:r>
        <w:rPr>
          <w:rStyle w:val="CharStyle21"/>
        </w:rPr>
        <w:t>24</w:t>
      </w:r>
      <w:r>
        <w:rPr>
          <w:rStyle w:val="CharStyle20"/>
        </w:rPr>
        <w:t xml:space="preserve"> </w:t>
      </w:r>
      <w:r>
        <w:rPr>
          <w:rStyle w:val="CharStyle21"/>
        </w:rPr>
        <w:t>22</w:t>
      </w:r>
      <w:r>
        <w:rPr>
          <w:rStyle w:val="CharStyle20"/>
        </w:rPr>
        <w:t xml:space="preserve"> </w:t>
      </w:r>
      <w:r>
        <w:rPr>
          <w:rStyle w:val="CharStyle21"/>
        </w:rPr>
        <w:t>64</w:t>
      </w:r>
    </w:p>
    <w:sectPr>
      <w:type w:val="continuous"/>
      <w:pgSz w:w="11906" w:h="16838"/>
      <w:pgMar w:top="812" w:left="1181" w:right="1145" w:bottom="81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+ 11,5 pt,Интервал 0 pt"/>
    <w:basedOn w:val="CharStyle10"/>
    <w:rPr>
      <w:lang w:val="ru-RU" w:eastAsia="ru-RU" w:bidi="ru-RU"/>
      <w:sz w:val="23"/>
      <w:szCs w:val="23"/>
      <w:w w:val="100"/>
      <w:spacing w:val="10"/>
      <w:color w:val="000000"/>
      <w:position w:val="0"/>
    </w:rPr>
  </w:style>
  <w:style w:type="character" w:customStyle="1" w:styleId="CharStyle14">
    <w:name w:val="Основной текст + 11,5 pt"/>
    <w:basedOn w:val="CharStyle10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5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(5) + Не полужирный"/>
    <w:basedOn w:val="CharStyle12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6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6)"/>
    <w:basedOn w:val="CharStyle19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6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before="240"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before="360"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