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20" w:wrap="around" w:vAnchor="text" w:hAnchor="margin" w:x="91" w:y="3821"/>
        <w:widowControl w:val="0"/>
        <w:keepNext w:val="0"/>
        <w:keepLines w:val="0"/>
        <w:shd w:val="clear" w:color="auto" w:fill="auto"/>
        <w:bidi w:val="0"/>
        <w:jc w:val="left"/>
        <w:spacing w:before="0" w:after="0" w:line="220" w:lineRule="exact"/>
        <w:ind w:left="0" w:right="0" w:firstLine="0"/>
      </w:pPr>
      <w:r>
        <w:rPr>
          <w:rStyle w:val="CharStyle5"/>
          <w:spacing w:val="20"/>
        </w:rPr>
        <w:t>На №</w:t>
      </w:r>
    </w:p>
    <w:p>
      <w:pPr>
        <w:widowControl w:val="0"/>
        <w:rPr>
          <w:sz w:val="2"/>
          <w:szCs w:val="2"/>
        </w:rPr>
      </w:pPr>
    </w:p>
    <w:p>
      <w:pPr>
        <w:pStyle w:val="Style6"/>
        <w:widowControl w:val="0"/>
        <w:keepNext w:val="0"/>
        <w:keepLines w:val="0"/>
        <w:shd w:val="clear" w:color="auto" w:fill="auto"/>
        <w:bidi w:val="0"/>
        <w:spacing w:before="0" w:after="234"/>
        <w:ind w:left="0" w:right="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0" w:line="281" w:lineRule="exact"/>
        <w:ind w:left="0" w:right="0" w:firstLine="0"/>
      </w:pPr>
      <w:r>
        <w:rPr>
          <w:rStyle w:val="CharStyle8"/>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300" w:line="277" w:lineRule="exact"/>
        <w:ind w:left="40" w:right="0" w:firstLine="0"/>
      </w:pPr>
      <w:r>
        <w:rPr>
          <w:rStyle w:val="CharStyle8"/>
          <w:b/>
          <w:bCs/>
        </w:rPr>
        <w:t>МОНОПОЛИЯГЭ КАРШы ФЕДЕРАЛЬ ХЕЗМЭТ</w:t>
      </w:r>
    </w:p>
    <w:p>
      <w:pPr>
        <w:pStyle w:val="Style6"/>
        <w:widowControl w:val="0"/>
        <w:keepNext w:val="0"/>
        <w:keepLines w:val="0"/>
        <w:shd w:val="clear" w:color="auto" w:fill="auto"/>
        <w:bidi w:val="0"/>
        <w:spacing w:before="0" w:after="241" w:line="277" w:lineRule="exact"/>
        <w:ind w:left="40" w:right="0" w:firstLine="0"/>
      </w:pPr>
      <w:r>
        <w:rPr>
          <w:rStyle w:val="CharStyle8"/>
          <w:b/>
          <w:bCs/>
        </w:rPr>
        <w:t>Монополиям карты Федераль хезмзтнен Татарстан Республикасы буенча идарэсе</w:t>
      </w:r>
    </w:p>
    <w:p>
      <w:pPr>
        <w:pStyle w:val="Style9"/>
        <w:widowControl w:val="0"/>
        <w:keepNext w:val="0"/>
        <w:keepLines w:val="0"/>
        <w:shd w:val="clear" w:color="auto" w:fill="auto"/>
        <w:bidi w:val="0"/>
        <w:spacing w:before="0" w:after="205"/>
        <w:ind w:left="40" w:right="0" w:firstLine="0"/>
      </w:pPr>
      <w:r>
        <w:rPr>
          <w:rStyle w:val="CharStyle11"/>
        </w:rPr>
        <w:t xml:space="preserve">Мэскэу ур„ 55 йорт. Казан </w:t>
      </w:r>
      <w:r>
        <w:rPr>
          <w:rStyle w:val="CharStyle11"/>
          <w:lang w:val="en-US" w:eastAsia="en-US" w:bidi="en-US"/>
        </w:rPr>
        <w:t xml:space="preserve">uiahape, </w:t>
      </w:r>
      <w:r>
        <w:rPr>
          <w:rStyle w:val="CharStyle11"/>
        </w:rPr>
        <w:t xml:space="preserve">420021 тел.: (843) 236-89-22, факс (843) 238-19-46 </w:t>
      </w:r>
      <w:r>
        <w:rPr>
          <w:rStyle w:val="CharStyle11"/>
          <w:lang w:val="en-US" w:eastAsia="en-US" w:bidi="en-US"/>
        </w:rPr>
        <w:t xml:space="preserve">e-mail: </w:t>
      </w:r>
      <w:r>
        <w:rPr>
          <w:rStyle w:val="CharStyle11"/>
        </w:rPr>
        <w:t xml:space="preserve">ю </w:t>
      </w:r>
      <w:r>
        <w:fldChar w:fldCharType="begin"/>
      </w:r>
      <w:r>
        <w:rPr>
          <w:rStyle w:val="CharStyle11"/>
        </w:rPr>
        <w:instrText> HYPERLINK "mailto:16@las.gov.ru" </w:instrText>
      </w:r>
      <w:r>
        <w:fldChar w:fldCharType="separate"/>
      </w:r>
      <w:r>
        <w:rPr>
          <w:rStyle w:val="Hyperlink"/>
        </w:rPr>
        <w:t>1</w:t>
      </w:r>
      <w:r>
        <w:rPr>
          <w:rStyle w:val="Hyperlink"/>
          <w:lang w:val="en-US" w:eastAsia="en-US" w:bidi="en-US"/>
        </w:rPr>
        <w:t>6@las.gov.ru</w:t>
      </w:r>
      <w:r>
        <w:fldChar w:fldCharType="end"/>
      </w:r>
    </w:p>
    <w:p>
      <w:pPr>
        <w:pStyle w:val="Style12"/>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Заказчику:</w:t>
      </w:r>
    </w:p>
    <w:p>
      <w:pPr>
        <w:pStyle w:val="Style12"/>
        <w:widowControl w:val="0"/>
        <w:keepNext w:val="0"/>
        <w:keepLines w:val="0"/>
        <w:shd w:val="clear" w:color="auto" w:fill="auto"/>
        <w:bidi w:val="0"/>
        <w:jc w:val="left"/>
        <w:spacing w:before="0" w:after="0"/>
        <w:ind w:left="0" w:right="40" w:firstLine="0"/>
        <w:sectPr>
          <w:footnotePr>
            <w:pos w:val="pageBottom"/>
            <w:numFmt w:val="decimal"/>
            <w:numRestart w:val="continuous"/>
          </w:footnotePr>
          <w:type w:val="continuous"/>
          <w:pgSz w:w="11906" w:h="16838"/>
          <w:pgMar w:top="741" w:left="810" w:right="1120" w:bottom="727" w:header="0" w:footer="3" w:gutter="0"/>
          <w:rtlGutter w:val="0"/>
          <w:cols w:num="2" w:space="1811"/>
          <w:noEndnote/>
          <w:docGrid w:linePitch="360"/>
        </w:sectPr>
      </w:pPr>
      <w:r>
        <w:rPr>
          <w:lang w:val="ru-RU" w:eastAsia="ru-RU" w:bidi="ru-RU"/>
          <w:w w:val="100"/>
          <w:spacing w:val="0"/>
          <w:color w:val="000000"/>
          <w:position w:val="0"/>
        </w:rPr>
        <w:t>ФЕДЕРАЛЬНОЕ КАЗЕННОЕ УЧРЕЖДЕНИЕ "ФЕДЕРАЛЬНОЕ УПРАВЛЕНИЕ АВТОМОБИЛЬНЫХ ДОРОГ ВОЛГО-ВЯТСКОГО РЕГИОНА ФЕДЕРАЛЬНОГО ДОРОЖНОГО АГЕНТСТВА"</w:t>
      </w: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0" w:line="324" w:lineRule="exact"/>
        <w:ind w:left="5820" w:right="0" w:firstLine="0"/>
      </w:pPr>
      <w:r>
        <w:rPr>
          <w:lang w:val="ru-RU" w:eastAsia="ru-RU" w:bidi="ru-RU"/>
          <w:w w:val="100"/>
          <w:spacing w:val="0"/>
          <w:color w:val="000000"/>
          <w:position w:val="0"/>
        </w:rPr>
        <w:t>Заявитель:</w:t>
      </w:r>
    </w:p>
    <w:p>
      <w:pPr>
        <w:pStyle w:val="Style12"/>
        <w:widowControl w:val="0"/>
        <w:keepNext w:val="0"/>
        <w:keepLines w:val="0"/>
        <w:shd w:val="clear" w:color="auto" w:fill="auto"/>
        <w:bidi w:val="0"/>
        <w:jc w:val="left"/>
        <w:spacing w:before="0" w:after="600" w:line="324" w:lineRule="exact"/>
        <w:ind w:left="5820" w:right="1500" w:firstLine="0"/>
      </w:pPr>
      <w:r>
        <w:rPr>
          <w:lang w:val="ru-RU" w:eastAsia="ru-RU" w:bidi="ru-RU"/>
          <w:w w:val="100"/>
          <w:spacing w:val="0"/>
          <w:color w:val="000000"/>
          <w:position w:val="0"/>
        </w:rPr>
        <w:t xml:space="preserve">ООО «МД-Консалтинг» </w:t>
      </w:r>
      <w:r>
        <w:fldChar w:fldCharType="begin"/>
      </w:r>
      <w:r>
        <w:rPr>
          <w:rStyle w:val="CharStyle14"/>
        </w:rPr>
        <w:instrText> HYPERLINK "mailto:md-consulting63@mail.ru" </w:instrText>
      </w:r>
      <w:r>
        <w:fldChar w:fldCharType="separate"/>
      </w:r>
      <w:r>
        <w:rPr>
          <w:rStyle w:val="Hyperlink"/>
          <w:lang w:val="en-US" w:eastAsia="en-US" w:bidi="en-US"/>
        </w:rPr>
        <w:t>md-consulting63@mail.ru</w:t>
      </w:r>
      <w:r>
        <w:fldChar w:fldCharType="end"/>
      </w:r>
    </w:p>
    <w:p>
      <w:pPr>
        <w:pStyle w:val="Style12"/>
        <w:widowControl w:val="0"/>
        <w:keepNext w:val="0"/>
        <w:keepLines w:val="0"/>
        <w:shd w:val="clear" w:color="auto" w:fill="auto"/>
        <w:bidi w:val="0"/>
        <w:jc w:val="center"/>
        <w:spacing w:before="0" w:after="351" w:line="324" w:lineRule="exact"/>
        <w:ind w:left="0" w:right="540" w:firstLine="0"/>
      </w:pPr>
      <w:r>
        <w:rPr>
          <w:lang w:val="ru-RU" w:eastAsia="ru-RU" w:bidi="ru-RU"/>
          <w:w w:val="100"/>
          <w:spacing w:val="0"/>
          <w:color w:val="000000"/>
          <w:position w:val="0"/>
        </w:rPr>
        <w:t>РЕШЕНИЕ по делу № 016/06/31-2056/2021 о нарушении законодательства в сфере закупок товаров, работ, услуг для обеспечения государственных и муниципальных нужд</w:t>
      </w:r>
    </w:p>
    <w:p>
      <w:pPr>
        <w:pStyle w:val="Style12"/>
        <w:tabs>
          <w:tab w:leader="none" w:pos="9128" w:val="left"/>
        </w:tabs>
        <w:widowControl w:val="0"/>
        <w:keepNext w:val="0"/>
        <w:keepLines w:val="0"/>
        <w:shd w:val="clear" w:color="auto" w:fill="auto"/>
        <w:bidi w:val="0"/>
        <w:jc w:val="both"/>
        <w:spacing w:before="0" w:after="306" w:line="260" w:lineRule="exact"/>
        <w:ind w:left="20" w:right="0" w:firstLine="0"/>
      </w:pPr>
      <w:r>
        <w:rPr>
          <w:lang w:val="ru-RU" w:eastAsia="ru-RU" w:bidi="ru-RU"/>
          <w:w w:val="100"/>
          <w:spacing w:val="0"/>
          <w:color w:val="000000"/>
          <w:position w:val="0"/>
        </w:rPr>
        <w:t>28 октября 2021 года</w:t>
        <w:tab/>
        <w:t>г. Казань</w:t>
      </w:r>
    </w:p>
    <w:p>
      <w:pPr>
        <w:pStyle w:val="Style12"/>
        <w:tabs>
          <w:tab w:leader="none" w:pos="5901" w:val="left"/>
        </w:tabs>
        <w:widowControl w:val="0"/>
        <w:keepNext w:val="0"/>
        <w:keepLines w:val="0"/>
        <w:shd w:val="clear" w:color="auto" w:fill="auto"/>
        <w:bidi w:val="0"/>
        <w:jc w:val="left"/>
        <w:spacing w:before="0" w:after="0"/>
        <w:ind w:left="20" w:right="40" w:firstLine="840"/>
      </w:pPr>
      <w:r>
        <w:rPr>
          <w:lang w:val="ru-RU" w:eastAsia="ru-RU" w:bidi="ru-RU"/>
          <w:w w:val="100"/>
          <w:spacing w:val="0"/>
          <w:color w:val="000000"/>
          <w:position w:val="0"/>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 Председателя Комиссии:</w:t>
        <w:tab/>
        <w:t>Яфизова А.А. - заместителя</w:t>
      </w:r>
    </w:p>
    <w:p>
      <w:pPr>
        <w:pStyle w:val="Style12"/>
        <w:widowControl w:val="0"/>
        <w:keepNext w:val="0"/>
        <w:keepLines w:val="0"/>
        <w:shd w:val="clear" w:color="auto" w:fill="auto"/>
        <w:bidi w:val="0"/>
        <w:jc w:val="both"/>
        <w:spacing w:before="0" w:after="0"/>
        <w:ind w:left="5940" w:right="0" w:firstLine="0"/>
      </w:pPr>
      <w:r>
        <w:rPr>
          <w:lang w:val="ru-RU" w:eastAsia="ru-RU" w:bidi="ru-RU"/>
          <w:w w:val="100"/>
          <w:spacing w:val="0"/>
          <w:color w:val="000000"/>
          <w:position w:val="0"/>
        </w:rPr>
        <w:t>руководителя,</w:t>
      </w:r>
    </w:p>
    <w:p>
      <w:pPr>
        <w:pStyle w:val="Style12"/>
        <w:tabs>
          <w:tab w:leader="none" w:pos="5901" w:val="left"/>
        </w:tabs>
        <w:widowControl w:val="0"/>
        <w:keepNext w:val="0"/>
        <w:keepLines w:val="0"/>
        <w:shd w:val="clear" w:color="auto" w:fill="auto"/>
        <w:bidi w:val="0"/>
        <w:jc w:val="both"/>
        <w:spacing w:before="0" w:after="0"/>
        <w:ind w:left="960" w:right="0" w:firstLine="0"/>
      </w:pPr>
      <w:r>
        <w:rPr>
          <w:lang w:val="ru-RU" w:eastAsia="ru-RU" w:bidi="ru-RU"/>
          <w:w w:val="100"/>
          <w:spacing w:val="0"/>
          <w:color w:val="000000"/>
          <w:position w:val="0"/>
        </w:rPr>
        <w:t>Членов Комиссии:</w:t>
        <w:tab/>
        <w:t>Тимофеева М.А. - ведущего</w:t>
      </w:r>
    </w:p>
    <w:p>
      <w:pPr>
        <w:pStyle w:val="Style12"/>
        <w:widowControl w:val="0"/>
        <w:keepNext w:val="0"/>
        <w:keepLines w:val="0"/>
        <w:shd w:val="clear" w:color="auto" w:fill="auto"/>
        <w:bidi w:val="0"/>
        <w:jc w:val="both"/>
        <w:spacing w:before="0" w:after="0"/>
        <w:ind w:left="5940" w:right="0" w:firstLine="0"/>
      </w:pPr>
      <w:r>
        <w:rPr>
          <w:lang w:val="ru-RU" w:eastAsia="ru-RU" w:bidi="ru-RU"/>
          <w:w w:val="100"/>
          <w:spacing w:val="0"/>
          <w:color w:val="000000"/>
          <w:position w:val="0"/>
        </w:rPr>
        <w:t>специалиста-эксперта,</w:t>
      </w:r>
    </w:p>
    <w:p>
      <w:pPr>
        <w:pStyle w:val="Style12"/>
        <w:widowControl w:val="0"/>
        <w:keepNext w:val="0"/>
        <w:keepLines w:val="0"/>
        <w:shd w:val="clear" w:color="auto" w:fill="auto"/>
        <w:bidi w:val="0"/>
        <w:jc w:val="both"/>
        <w:spacing w:before="0" w:after="0"/>
        <w:ind w:left="5940" w:right="40" w:firstLine="0"/>
      </w:pPr>
      <w:r>
        <w:rPr>
          <w:lang w:val="ru-RU" w:eastAsia="ru-RU" w:bidi="ru-RU"/>
          <w:w w:val="100"/>
          <w:spacing w:val="0"/>
          <w:color w:val="000000"/>
          <w:position w:val="0"/>
        </w:rPr>
        <w:t>Янова А.Д. - специалиста 1 разряда,</w:t>
      </w:r>
    </w:p>
    <w:p>
      <w:pPr>
        <w:pStyle w:val="Style12"/>
        <w:tabs>
          <w:tab w:leader="none" w:pos="7321" w:val="left"/>
        </w:tabs>
        <w:widowControl w:val="0"/>
        <w:keepNext w:val="0"/>
        <w:keepLines w:val="0"/>
        <w:shd w:val="clear" w:color="auto" w:fill="auto"/>
        <w:bidi w:val="0"/>
        <w:jc w:val="both"/>
        <w:spacing w:before="0" w:after="0" w:line="313" w:lineRule="exact"/>
        <w:ind w:left="20" w:right="40" w:firstLine="840"/>
      </w:pPr>
      <w:r>
        <w:rPr>
          <w:lang w:val="ru-RU" w:eastAsia="ru-RU" w:bidi="ru-RU"/>
          <w:w w:val="100"/>
          <w:spacing w:val="0"/>
          <w:color w:val="000000"/>
          <w:position w:val="0"/>
        </w:rPr>
        <w:t>в присутствии представителей заказчика ФЕДЕРАЛЬНОЕ КАЗЕННОЕ УЧРЕЖДЕНИЕ "ФЕДЕРАЛЬНОЕ УПРАВЛЕНИЕ АВТОМОБИЛЬНЫХ ДОРОГ ВОЛГО-ВЯТСКОГО РЕГИОНА ФЕДЕРАЛЬНОГО ДОРОЖНОГО АГЕНТСТВА": Панковой З.В. (доверенность №105 от 05.08.2021</w:t>
        <w:tab/>
        <w:t>г.), Насибуллина И.Р.</w:t>
      </w:r>
    </w:p>
    <w:p>
      <w:pPr>
        <w:pStyle w:val="Style12"/>
        <w:widowControl w:val="0"/>
        <w:keepNext w:val="0"/>
        <w:keepLines w:val="0"/>
        <w:shd w:val="clear" w:color="auto" w:fill="auto"/>
        <w:bidi w:val="0"/>
        <w:jc w:val="both"/>
        <w:spacing w:before="0" w:after="0" w:line="313" w:lineRule="exact"/>
        <w:ind w:left="20" w:right="40" w:firstLine="0"/>
      </w:pPr>
      <w:r>
        <w:rPr>
          <w:lang w:val="ru-RU" w:eastAsia="ru-RU" w:bidi="ru-RU"/>
          <w:w w:val="100"/>
          <w:spacing w:val="0"/>
          <w:color w:val="000000"/>
          <w:position w:val="0"/>
        </w:rPr>
        <w:t>(доверенность №140 от 29.12.2020 г.), представителя заявителя ООО «МД- Консалтинг» не явился, извещен надлежащим образом, рассмотрев жалобу заявителя ООО «МД-Консалтинг» (вх. № 14282/ж от 22.10.2021г.) на действия</w:t>
      </w:r>
      <w:r>
        <w:br w:type="page"/>
      </w:r>
    </w:p>
    <w:p>
      <w:pPr>
        <w:pStyle w:val="Style12"/>
        <w:tabs>
          <w:tab w:leader="none" w:pos="5195" w:val="left"/>
        </w:tabs>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заказчика ФЕДЕРАЛЬНОЕ КАЗЕННОЕ УЧРЕЖДЕНИЕ "ФЕДЕРАЛЬНОЕ УПРАВЛЕНИЕ АВТОМОБИЛЬНЫХ ДОРОГ ВОЛГО-ВЯТСКОГО РЕГИОНА ФЕДЕРАЛЬНОГО ДОРОЖНОГО АГЕНТСТВА" при проведении закупки № 0311100007221000090 на предмет:</w:t>
        <w:tab/>
        <w:t>Обслуживание систем сигнализации,</w:t>
      </w:r>
    </w:p>
    <w:p>
      <w:pPr>
        <w:pStyle w:val="Style12"/>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видеонаблюдения, инженерно-технических средств обеспечения транспортной безопасности,</w:t>
      </w:r>
    </w:p>
    <w:p>
      <w:pPr>
        <w:pStyle w:val="Style12"/>
        <w:widowControl w:val="0"/>
        <w:keepNext w:val="0"/>
        <w:keepLines w:val="0"/>
        <w:shd w:val="clear" w:color="auto" w:fill="auto"/>
        <w:bidi w:val="0"/>
        <w:jc w:val="left"/>
        <w:spacing w:before="0" w:after="0"/>
        <w:ind w:left="4540" w:right="0" w:firstLine="0"/>
      </w:pPr>
      <w:r>
        <w:rPr>
          <w:lang w:val="ru-RU" w:eastAsia="ru-RU" w:bidi="ru-RU"/>
          <w:w w:val="100"/>
          <w:spacing w:val="0"/>
          <w:color w:val="000000"/>
          <w:position w:val="0"/>
        </w:rPr>
        <w:t>УСТАНОВИЛА:</w:t>
      </w:r>
    </w:p>
    <w:p>
      <w:pPr>
        <w:pStyle w:val="Style12"/>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Извещение о проведении электронного аукциона №0311100007221000090 было размещено на официальном сайте Российской Федерации для размещения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14.10.2021 г.</w:t>
      </w:r>
    </w:p>
    <w:p>
      <w:pPr>
        <w:pStyle w:val="Style12"/>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Начальная (максимальная) цена контракта - 22 638 408,00 руб.</w:t>
      </w:r>
    </w:p>
    <w:p>
      <w:pPr>
        <w:pStyle w:val="Style12"/>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Заказчик - ФЕДЕРАЛЬНОЕ КАЗЕННОЕ УЧРЕЖДЕНИЕ "ФЕДЕРАЛЬНОЕ УПРАВЛЕНИЕ АВТОМОБИЛЬНЫХ ДОРОГ ВОЛГО-ВЯТСКОГО РЕГИОНА ФЕДЕРАЛЬНОГО ДОРОЖНОГО АГЕНТСТВА".</w:t>
      </w:r>
    </w:p>
    <w:p>
      <w:pPr>
        <w:pStyle w:val="Style12"/>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Суть жалобы, по мнению заявителя, в действиях заказчика при проведении электронного аукциона содержатся нарушения норм действующего законодательства.</w:t>
      </w:r>
    </w:p>
    <w:p>
      <w:pPr>
        <w:pStyle w:val="Style12"/>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Представители заказчика, с доводами, изложенными в жалобе заявителя не согласились, представили устные и письменные пояснения.</w:t>
      </w:r>
    </w:p>
    <w:p>
      <w:pPr>
        <w:pStyle w:val="Style15"/>
        <w:widowControl w:val="0"/>
        <w:keepNext w:val="0"/>
        <w:keepLines w:val="0"/>
        <w:shd w:val="clear" w:color="auto" w:fill="auto"/>
        <w:bidi w:val="0"/>
        <w:spacing w:before="0" w:after="0"/>
        <w:ind w:left="40" w:right="20"/>
      </w:pPr>
      <w:r>
        <w:rPr>
          <w:lang w:val="ru-RU" w:eastAsia="ru-RU" w:bidi="ru-RU"/>
          <w:w w:val="100"/>
          <w:spacing w:val="0"/>
          <w:color w:val="000000"/>
          <w:position w:val="0"/>
        </w:rPr>
        <w:t>Комиссия Татарстанского УФАС России по результатам рассмотрения довода заявителя на действия заказчика и позиции заказчика, изучения представленных материалов приходит к следующим выводам.</w:t>
      </w:r>
    </w:p>
    <w:p>
      <w:pPr>
        <w:pStyle w:val="Style17"/>
        <w:widowControl w:val="0"/>
        <w:keepNext w:val="0"/>
        <w:keepLines w:val="0"/>
        <w:shd w:val="clear" w:color="auto" w:fill="auto"/>
        <w:bidi w:val="0"/>
        <w:spacing w:before="0" w:after="0"/>
        <w:ind w:left="40" w:right="20"/>
      </w:pPr>
      <w:r>
        <w:rPr>
          <w:lang w:val="ru-RU" w:eastAsia="ru-RU" w:bidi="ru-RU"/>
          <w:w w:val="100"/>
          <w:spacing w:val="0"/>
          <w:color w:val="000000"/>
          <w:position w:val="0"/>
        </w:rPr>
        <w:t>Относительно довода заявителя о том, что Заказчиком в нарушение требований действующего законодательства неверно установлено требование к участникам закупки о наличии у них действующих лицензии на право производства работ по монтажу, техническому обслуживанию и ремонту средств обеспечения пожарной безопасности зданий и сооружений, выданная соответствующим лицензирующим органом.</w:t>
      </w:r>
    </w:p>
    <w:p>
      <w:pPr>
        <w:pStyle w:val="Style12"/>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В соответствии с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2"/>
        <w:numPr>
          <w:ilvl w:val="0"/>
          <w:numId w:val="1"/>
        </w:numPr>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2"/>
        <w:numPr>
          <w:ilvl w:val="0"/>
          <w:numId w:val="1"/>
        </w:numPr>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2"/>
        <w:numPr>
          <w:ilvl w:val="0"/>
          <w:numId w:val="1"/>
        </w:numPr>
        <w:widowControl w:val="0"/>
        <w:keepNext w:val="0"/>
        <w:keepLines w:val="0"/>
        <w:shd w:val="clear" w:color="auto" w:fill="auto"/>
        <w:bidi w:val="0"/>
        <w:jc w:val="both"/>
        <w:spacing w:before="0" w:after="0"/>
        <w:ind w:left="40" w:right="0" w:firstLine="700"/>
      </w:pPr>
      <w:r>
        <w:rPr>
          <w:lang w:val="ru-RU" w:eastAsia="ru-RU" w:bidi="ru-RU"/>
          <w:w w:val="100"/>
          <w:spacing w:val="0"/>
          <w:color w:val="000000"/>
          <w:position w:val="0"/>
        </w:rPr>
        <w:t xml:space="preserve"> дата и время окончания срока подачи заявок на участие в таком аукционе;</w:t>
      </w:r>
    </w:p>
    <w:p>
      <w:pPr>
        <w:pStyle w:val="Style12"/>
        <w:numPr>
          <w:ilvl w:val="0"/>
          <w:numId w:val="1"/>
        </w:numPr>
        <w:widowControl w:val="0"/>
        <w:keepNext w:val="0"/>
        <w:keepLines w:val="0"/>
        <w:shd w:val="clear" w:color="auto" w:fill="auto"/>
        <w:bidi w:val="0"/>
        <w:jc w:val="both"/>
        <w:spacing w:before="0" w:after="0"/>
        <w:ind w:left="40" w:right="20" w:firstLine="700"/>
      </w:pPr>
      <w:r>
        <w:rPr>
          <w:lang w:val="ru-RU" w:eastAsia="ru-RU" w:bidi="ru-RU"/>
          <w:w w:val="100"/>
          <w:spacing w:val="0"/>
          <w:color w:val="000000"/>
          <w:position w:val="0"/>
        </w:rPr>
        <w:t xml:space="preserve"> дата окончания срока рассмотрения заявок на участие в таком аукционе в соответствии с частью 2 статьи 67 настоящего Федерального закона;</w:t>
      </w:r>
    </w:p>
    <w:p>
      <w:pPr>
        <w:pStyle w:val="Style12"/>
        <w:numPr>
          <w:ilvl w:val="0"/>
          <w:numId w:val="1"/>
        </w:numPr>
        <w:widowControl w:val="0"/>
        <w:keepNext w:val="0"/>
        <w:keepLines w:val="0"/>
        <w:shd w:val="clear" w:color="auto" w:fill="auto"/>
        <w:bidi w:val="0"/>
        <w:jc w:val="both"/>
        <w:spacing w:before="0" w:after="0" w:line="346" w:lineRule="exact"/>
        <w:ind w:left="20" w:right="40" w:firstLine="700"/>
      </w:pPr>
      <w:r>
        <w:rPr>
          <w:lang w:val="ru-RU" w:eastAsia="ru-RU" w:bidi="ru-RU"/>
          <w:w w:val="100"/>
          <w:spacing w:val="0"/>
          <w:color w:val="000000"/>
          <w:position w:val="0"/>
        </w:rPr>
        <w:t xml:space="preserve"> дата проведения такого аукциона в соответствии с частью 3 статьи 68 настоящего Федерального закона;</w:t>
      </w:r>
    </w:p>
    <w:p>
      <w:pPr>
        <w:pStyle w:val="Style12"/>
        <w:numPr>
          <w:ilvl w:val="0"/>
          <w:numId w:val="1"/>
        </w:numPr>
        <w:widowControl w:val="0"/>
        <w:keepNext w:val="0"/>
        <w:keepLines w:val="0"/>
        <w:shd w:val="clear" w:color="auto" w:fill="auto"/>
        <w:bidi w:val="0"/>
        <w:jc w:val="both"/>
        <w:spacing w:before="0" w:after="0" w:line="324" w:lineRule="exact"/>
        <w:ind w:left="20" w:right="40" w:firstLine="700"/>
      </w:pPr>
      <w:r>
        <w:rPr>
          <w:lang w:val="ru-RU" w:eastAsia="ru-RU" w:bidi="ru-RU"/>
          <w:w w:val="100"/>
          <w:spacing w:val="0"/>
          <w:color w:val="000000"/>
          <w:position w:val="0"/>
        </w:rPr>
        <w:t xml:space="preserve"> информация о валюте, используемой для формирования цены контракта и расчетов с поставщиками (подрядчиками, исполнителями);</w:t>
      </w:r>
    </w:p>
    <w:p>
      <w:pPr>
        <w:pStyle w:val="Style12"/>
        <w:numPr>
          <w:ilvl w:val="0"/>
          <w:numId w:val="1"/>
        </w:numPr>
        <w:widowControl w:val="0"/>
        <w:keepNext w:val="0"/>
        <w:keepLines w:val="0"/>
        <w:shd w:val="clear" w:color="auto" w:fill="auto"/>
        <w:bidi w:val="0"/>
        <w:jc w:val="both"/>
        <w:spacing w:before="0" w:after="0" w:line="324" w:lineRule="exact"/>
        <w:ind w:left="20" w:right="40" w:firstLine="700"/>
      </w:pPr>
      <w:r>
        <w:rPr>
          <w:lang w:val="ru-RU" w:eastAsia="ru-RU" w:bidi="ru-RU"/>
          <w:w w:val="100"/>
          <w:spacing w:val="0"/>
          <w:color w:val="000000"/>
          <w:position w:val="0"/>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Style12"/>
        <w:numPr>
          <w:ilvl w:val="0"/>
          <w:numId w:val="1"/>
        </w:numPr>
        <w:widowControl w:val="0"/>
        <w:keepNext w:val="0"/>
        <w:keepLines w:val="0"/>
        <w:shd w:val="clear" w:color="auto" w:fill="auto"/>
        <w:bidi w:val="0"/>
        <w:jc w:val="both"/>
        <w:spacing w:before="0" w:after="0" w:line="342" w:lineRule="exact"/>
        <w:ind w:left="20" w:right="40" w:firstLine="700"/>
      </w:pPr>
      <w:r>
        <w:rPr>
          <w:lang w:val="ru-RU" w:eastAsia="ru-RU" w:bidi="ru-RU"/>
          <w:w w:val="100"/>
          <w:spacing w:val="0"/>
          <w:color w:val="000000"/>
          <w:position w:val="0"/>
        </w:rPr>
        <w:t xml:space="preserve">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12"/>
        <w:numPr>
          <w:ilvl w:val="0"/>
          <w:numId w:val="1"/>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возможность заказчика изменить условия контракта в соответствии с положениями настоящего Федерального закона;</w:t>
      </w:r>
    </w:p>
    <w:p>
      <w:pPr>
        <w:pStyle w:val="Style12"/>
        <w:numPr>
          <w:ilvl w:val="0"/>
          <w:numId w:val="1"/>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pPr>
        <w:pStyle w:val="Style12"/>
        <w:numPr>
          <w:ilvl w:val="0"/>
          <w:numId w:val="1"/>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порядок, даты начала и окончания срока предоставления участникам такого аукциона разъяснений положений документации о таком аукционе;</w:t>
      </w:r>
    </w:p>
    <w:p>
      <w:pPr>
        <w:pStyle w:val="Style12"/>
        <w:numPr>
          <w:ilvl w:val="0"/>
          <w:numId w:val="1"/>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информация о возможности одностороннего отказа от исполнения контракта в соответствии с положениями частей </w:t>
      </w:r>
      <w:r>
        <w:rPr>
          <w:rStyle w:val="CharStyle19"/>
        </w:rPr>
        <w:t>8-25</w:t>
      </w:r>
      <w:r>
        <w:rPr>
          <w:lang w:val="ru-RU" w:eastAsia="ru-RU" w:bidi="ru-RU"/>
          <w:w w:val="100"/>
          <w:spacing w:val="0"/>
          <w:color w:val="000000"/>
          <w:position w:val="0"/>
        </w:rPr>
        <w:t xml:space="preserve"> статьи 95 настоящего Федерального закона.</w:t>
      </w:r>
    </w:p>
    <w:p>
      <w:pPr>
        <w:pStyle w:val="Style12"/>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Исходя из части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pPr>
        <w:pStyle w:val="Style12"/>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Пунктом 1 части 1 статьи 31 Закона о контрактной системе установлено, что при осуществлении закупки заказчик устанавливает следующие единые требования к участникам закупки:</w:t>
      </w:r>
    </w:p>
    <w:p>
      <w:pPr>
        <w:pStyle w:val="Style12"/>
        <w:widowControl w:val="0"/>
        <w:keepNext w:val="0"/>
        <w:keepLines w:val="0"/>
        <w:shd w:val="clear" w:color="auto" w:fill="auto"/>
        <w:bidi w:val="0"/>
        <w:jc w:val="both"/>
        <w:spacing w:before="0" w:after="0"/>
        <w:ind w:left="20" w:right="40" w:firstLine="1340"/>
      </w:pPr>
      <w:r>
        <w:rPr>
          <w:lang w:val="ru-RU" w:eastAsia="ru-RU" w:bidi="ru-RU"/>
          <w:w w:val="100"/>
          <w:spacing w:val="0"/>
          <w:color w:val="000000"/>
          <w:position w:val="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2"/>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В соответствии с пунктом 15 статьи 12 Федерального закона от 04.05.2011 № 99-ФЗ "О лицензировании отдельных видов деятельности" лицензированию подлежит деятельность по монтажу, техническому обслуживанию и ремонту средств обеспечения пожарной безопасности зданий и сооружений.</w:t>
      </w:r>
    </w:p>
    <w:p>
      <w:pPr>
        <w:pStyle w:val="Style12"/>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Пунктом 6.1.1 информационной карты документации Заказчиком указано, на наличие у участника закупки лицензии на право производства работ по монтажу, техническому обслуживанию и ремонту средств обеспечения пожарной безопасности зданий и сооружений, выданная соответствующим лицензирующим органом.</w:t>
      </w:r>
    </w:p>
    <w:p>
      <w:pPr>
        <w:pStyle w:val="Style12"/>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Согласно доводам заявителя, предметом закупки является Обслуживание систем сигнализации, видеонаблюдения, инженерно-технических средств обеспечения транспортной безопасности, при этом, не все работы, указанные в техническом задании, требуют наличие лицензии на право производства работ по монтажу, техническому обслуживанию и ремонту средств обеспечения пожарной безопасности зданий и сооружений, выданная соответствующим лицензирующим органом у участника закупки.</w:t>
      </w:r>
    </w:p>
    <w:p>
      <w:pPr>
        <w:pStyle w:val="Style12"/>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В ходе заседания Комиссии Татарстанского УФАС России представитель заказчика пояснил, что В соответствии с техническим заданием на обслуживание систем сигнализации, видеонаблюдения, инженерно-технических средств обеспечения транспортной безопасности (приложение № 1 к государственному контракту) в целях обеспечения непрерывного, круглосуточного, бесперебойного функционирования инженерно-технических систем обеспечения транспортной безопасности (далее — ИТСОТБ) на объектах транспортной инфраструктуры Подрядчику необходимо выполнить работы по восстановлению (замене) оборудования инженерно-технических систем обеспечения транспортной безопасности на оснащенных таковыми системами объектах транспортной инфраструктуры, расположенные на автомобильных дорогах общего пользования федерального значения, сведения о которых аккумулируются в системе Заказчика.</w:t>
      </w:r>
    </w:p>
    <w:p>
      <w:pPr>
        <w:pStyle w:val="Style12"/>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Требование к оборудованию приведены в перечне оборудования инженерно- технических средств (систем) и программного обеспечения, подлежащего восстановлению (замене) (Приложение 1 к настоящему техническому заданию).</w:t>
      </w:r>
    </w:p>
    <w:p>
      <w:pPr>
        <w:pStyle w:val="Style12"/>
        <w:tabs>
          <w:tab w:leader="none" w:pos="5190" w:val="left"/>
        </w:tabs>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Так, согласно приложения №</w:t>
        <w:tab/>
        <w:t>1 к техническому заданию подлежат</w:t>
      </w:r>
    </w:p>
    <w:p>
      <w:pPr>
        <w:pStyle w:val="Style12"/>
        <w:widowControl w:val="0"/>
        <w:keepNext w:val="0"/>
        <w:keepLines w:val="0"/>
        <w:shd w:val="clear" w:color="auto" w:fill="auto"/>
        <w:bidi w:val="0"/>
        <w:jc w:val="both"/>
        <w:spacing w:before="0" w:after="0" w:line="324" w:lineRule="exact"/>
        <w:ind w:left="20" w:right="0" w:firstLine="0"/>
      </w:pPr>
      <w:r>
        <w:rPr>
          <w:lang w:val="ru-RU" w:eastAsia="ru-RU" w:bidi="ru-RU"/>
          <w:w w:val="100"/>
          <w:spacing w:val="0"/>
          <w:color w:val="000000"/>
          <w:position w:val="0"/>
        </w:rPr>
        <w:t>восстановлению (замене), в том числе, элементы охранно-пожарной системы:</w:t>
      </w:r>
    </w:p>
    <w:p>
      <w:pPr>
        <w:pStyle w:val="Style12"/>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Оповещатель Маяк-24-ЗМ исп. 1 (звуковые охранно-пожарные оповещатели, по команде приемно-контрольного прибора сигнализируют о пожаре или наступлении чрезвычайных ситуаций) (позиция 65);</w:t>
      </w:r>
    </w:p>
    <w:p>
      <w:pPr>
        <w:pStyle w:val="Style12"/>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Звуковой оповещатель АСТ-24 (Оповещатель предназначен для выдачи сигнала тревоги или аварийного сигнала в виде звука модулированной частоты в системах охранной и охранно-пожарной сигнализации) (позиция 66);</w:t>
      </w:r>
    </w:p>
    <w:p>
      <w:pPr>
        <w:pStyle w:val="Style12"/>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 xml:space="preserve">Громкоговоритель рупорный </w:t>
      </w:r>
      <w:r>
        <w:rPr>
          <w:lang w:val="en-US" w:eastAsia="en-US" w:bidi="en-US"/>
          <w:w w:val="100"/>
          <w:spacing w:val="0"/>
          <w:color w:val="000000"/>
          <w:position w:val="0"/>
        </w:rPr>
        <w:t xml:space="preserve">Inter-M HS-20 </w:t>
      </w:r>
      <w:r>
        <w:rPr>
          <w:lang w:val="ru-RU" w:eastAsia="ru-RU" w:bidi="ru-RU"/>
          <w:w w:val="100"/>
          <w:spacing w:val="0"/>
          <w:color w:val="000000"/>
          <w:position w:val="0"/>
        </w:rPr>
        <w:t>(позиция 87);</w:t>
      </w:r>
    </w:p>
    <w:p>
      <w:pPr>
        <w:pStyle w:val="Style12"/>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 xml:space="preserve">Рупорный громкоговоритель, круглый </w:t>
      </w:r>
      <w:r>
        <w:rPr>
          <w:lang w:val="en-US" w:eastAsia="en-US" w:bidi="en-US"/>
          <w:w w:val="100"/>
          <w:spacing w:val="0"/>
          <w:color w:val="000000"/>
          <w:position w:val="0"/>
        </w:rPr>
        <w:t xml:space="preserve">Inter-M </w:t>
      </w:r>
      <w:r>
        <w:rPr>
          <w:lang w:val="ru-RU" w:eastAsia="ru-RU" w:bidi="ru-RU"/>
          <w:w w:val="100"/>
          <w:spacing w:val="0"/>
          <w:color w:val="000000"/>
          <w:position w:val="0"/>
        </w:rPr>
        <w:t>Н8-4(ЖТ(позиция 88);</w:t>
      </w:r>
    </w:p>
    <w:p>
      <w:pPr>
        <w:pStyle w:val="Style12"/>
        <w:tabs>
          <w:tab w:leader="none" w:pos="5190" w:val="left"/>
        </w:tabs>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Также согласно приложения №</w:t>
        <w:tab/>
        <w:t>1 к техническому заданию подлежат</w:t>
      </w:r>
    </w:p>
    <w:p>
      <w:pPr>
        <w:pStyle w:val="Style12"/>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восстановлению (замене) оборудование, работы, требующие соблюдение пожарной безопасности и допуск к таким работам:</w:t>
      </w:r>
    </w:p>
    <w:p>
      <w:pPr>
        <w:pStyle w:val="Style12"/>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 xml:space="preserve">Шкаф навесной 19-дюймовый </w:t>
      </w:r>
      <w:r>
        <w:rPr>
          <w:lang w:val="en-US" w:eastAsia="en-US" w:bidi="en-US"/>
          <w:w w:val="100"/>
          <w:spacing w:val="0"/>
          <w:color w:val="000000"/>
          <w:position w:val="0"/>
        </w:rPr>
        <w:t xml:space="preserve">ZPAS SW-004-2 </w:t>
      </w:r>
      <w:r>
        <w:rPr>
          <w:lang w:val="ru-RU" w:eastAsia="ru-RU" w:bidi="ru-RU"/>
          <w:w w:val="100"/>
          <w:spacing w:val="0"/>
          <w:color w:val="000000"/>
          <w:position w:val="0"/>
        </w:rPr>
        <w:t>(позиция 61);</w:t>
      </w:r>
    </w:p>
    <w:p>
      <w:pPr>
        <w:pStyle w:val="Style12"/>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 xml:space="preserve">Термошкаф герметичный, </w:t>
      </w:r>
      <w:r>
        <w:rPr>
          <w:lang w:val="en-US" w:eastAsia="en-US" w:bidi="en-US"/>
          <w:w w:val="100"/>
          <w:spacing w:val="0"/>
          <w:color w:val="000000"/>
          <w:position w:val="0"/>
        </w:rPr>
        <w:t xml:space="preserve">600x760x310 </w:t>
      </w:r>
      <w:r>
        <w:rPr>
          <w:lang w:val="ru-RU" w:eastAsia="ru-RU" w:bidi="ru-RU"/>
          <w:w w:val="100"/>
          <w:spacing w:val="0"/>
          <w:color w:val="000000"/>
          <w:position w:val="0"/>
        </w:rPr>
        <w:t>(ДхВхГ), в комплекте, ТШ-2 (позиция</w:t>
      </w:r>
    </w:p>
    <w:p>
      <w:pPr>
        <w:pStyle w:val="Style12"/>
        <w:widowControl w:val="0"/>
        <w:keepNext w:val="0"/>
        <w:keepLines w:val="0"/>
        <w:shd w:val="clear" w:color="auto" w:fill="auto"/>
        <w:bidi w:val="0"/>
        <w:jc w:val="both"/>
        <w:spacing w:before="0" w:after="0" w:line="324" w:lineRule="exact"/>
        <w:ind w:left="20" w:right="0" w:firstLine="0"/>
      </w:pPr>
      <w:r>
        <w:rPr>
          <w:lang w:val="ru-RU" w:eastAsia="ru-RU" w:bidi="ru-RU"/>
          <w:w w:val="100"/>
          <w:spacing w:val="0"/>
          <w:color w:val="000000"/>
          <w:position w:val="0"/>
        </w:rPr>
        <w:t>62);</w:t>
      </w:r>
    </w:p>
    <w:p>
      <w:pPr>
        <w:pStyle w:val="Style12"/>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 xml:space="preserve">Коммуникационный шкаф </w:t>
      </w:r>
      <w:r>
        <w:rPr>
          <w:lang w:val="en-US" w:eastAsia="en-US" w:bidi="en-US"/>
          <w:w w:val="100"/>
          <w:spacing w:val="0"/>
          <w:color w:val="000000"/>
          <w:position w:val="0"/>
        </w:rPr>
        <w:t xml:space="preserve">400x500x210 Rittal </w:t>
      </w:r>
      <w:r>
        <w:rPr>
          <w:lang w:val="ru-RU" w:eastAsia="ru-RU" w:bidi="ru-RU"/>
          <w:w w:val="100"/>
          <w:spacing w:val="0"/>
          <w:color w:val="000000"/>
          <w:position w:val="0"/>
        </w:rPr>
        <w:t>1045500 (на опорах моста) (позиция 63);</w:t>
      </w:r>
    </w:p>
    <w:p>
      <w:pPr>
        <w:pStyle w:val="Style12"/>
        <w:widowControl w:val="0"/>
        <w:keepNext w:val="0"/>
        <w:keepLines w:val="0"/>
        <w:shd w:val="clear" w:color="auto" w:fill="auto"/>
        <w:bidi w:val="0"/>
        <w:jc w:val="both"/>
        <w:spacing w:before="0" w:after="0" w:line="324" w:lineRule="exact"/>
        <w:ind w:left="20" w:right="0" w:firstLine="720"/>
      </w:pPr>
      <w:r>
        <w:rPr>
          <w:lang w:val="ru-RU" w:eastAsia="ru-RU" w:bidi="ru-RU"/>
          <w:w w:val="100"/>
          <w:spacing w:val="0"/>
          <w:color w:val="000000"/>
          <w:position w:val="0"/>
        </w:rPr>
        <w:t xml:space="preserve">Шкаф уличный всепогодный </w:t>
      </w:r>
      <w:r>
        <w:rPr>
          <w:lang w:val="en-US" w:eastAsia="en-US" w:bidi="en-US"/>
          <w:w w:val="100"/>
          <w:spacing w:val="0"/>
          <w:color w:val="000000"/>
          <w:position w:val="0"/>
        </w:rPr>
        <w:t xml:space="preserve">IIITB-1-18U </w:t>
      </w:r>
      <w:r>
        <w:rPr>
          <w:lang w:val="ru-RU" w:eastAsia="ru-RU" w:bidi="ru-RU"/>
          <w:w w:val="100"/>
          <w:spacing w:val="0"/>
          <w:color w:val="000000"/>
          <w:position w:val="0"/>
        </w:rPr>
        <w:t>(24).6.8.-4ААА (позиция 85).</w:t>
      </w:r>
    </w:p>
    <w:p>
      <w:pPr>
        <w:pStyle w:val="Style12"/>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Данное оборудование подключено к общей системе программного обеспечения.</w:t>
      </w:r>
    </w:p>
    <w:p>
      <w:pPr>
        <w:pStyle w:val="Style12"/>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Таким образом, приложением № 1 к техническому заданию установлено, что подлежат восстановлению (замене) в рамках государственного контракта по обслуживанию систем сигнализации, видеонаблюдения, инженерно-технических</w:t>
      </w:r>
    </w:p>
    <w:p>
      <w:pPr>
        <w:pStyle w:val="Style12"/>
        <w:widowControl w:val="0"/>
        <w:keepNext w:val="0"/>
        <w:keepLines w:val="0"/>
        <w:shd w:val="clear" w:color="auto" w:fill="auto"/>
        <w:bidi w:val="0"/>
        <w:jc w:val="both"/>
        <w:spacing w:before="0" w:after="0" w:line="328" w:lineRule="exact"/>
        <w:ind w:left="20" w:right="200" w:firstLine="0"/>
      </w:pPr>
      <w:r>
        <w:rPr>
          <w:lang w:val="ru-RU" w:eastAsia="ru-RU" w:bidi="ru-RU"/>
          <w:w w:val="100"/>
          <w:spacing w:val="0"/>
          <w:color w:val="000000"/>
          <w:position w:val="0"/>
        </w:rPr>
        <w:t>средств обеспечения транспортной безопасности, оборудование, относящееся к системе пожарно-охранной сигнализации, а также оборудование, работы с которым связаны с пожарной безопасностью.</w:t>
      </w:r>
    </w:p>
    <w:p>
      <w:pPr>
        <w:pStyle w:val="Style12"/>
        <w:widowControl w:val="0"/>
        <w:keepNext w:val="0"/>
        <w:keepLines w:val="0"/>
        <w:shd w:val="clear" w:color="auto" w:fill="auto"/>
        <w:bidi w:val="0"/>
        <w:jc w:val="both"/>
        <w:spacing w:before="0" w:after="0" w:line="328" w:lineRule="exact"/>
        <w:ind w:left="20" w:right="200" w:firstLine="700"/>
      </w:pPr>
      <w:r>
        <w:rPr>
          <w:lang w:val="ru-RU" w:eastAsia="ru-RU" w:bidi="ru-RU"/>
          <w:w w:val="100"/>
          <w:spacing w:val="0"/>
          <w:color w:val="000000"/>
          <w:position w:val="0"/>
        </w:rPr>
        <w:t>Комиссия Татарстанского У ФАС России изучив доводы жалобы заявителя, пояснения заказчика, аукционную документацию установила следующее:</w:t>
      </w:r>
    </w:p>
    <w:p>
      <w:pPr>
        <w:pStyle w:val="Style12"/>
        <w:widowControl w:val="0"/>
        <w:keepNext w:val="0"/>
        <w:keepLines w:val="0"/>
        <w:shd w:val="clear" w:color="auto" w:fill="auto"/>
        <w:bidi w:val="0"/>
        <w:jc w:val="both"/>
        <w:spacing w:before="0" w:after="0" w:line="328" w:lineRule="exact"/>
        <w:ind w:left="20" w:right="200" w:firstLine="700"/>
      </w:pPr>
      <w:r>
        <w:rPr>
          <w:lang w:val="ru-RU" w:eastAsia="ru-RU" w:bidi="ru-RU"/>
          <w:w w:val="100"/>
          <w:spacing w:val="0"/>
          <w:color w:val="000000"/>
          <w:position w:val="0"/>
        </w:rPr>
        <w:t>Так, согласно техническому заданию к настоящей закупки, целью ее проведения является, обеспечение непрерывного, круглосуточного, бесперебойного функционирования инженерно-технических систем обеспечения транспортной безопасности. Проведение работ по восстановлению (замене) оборудования на оснащенных инженерно-техническими средствами обеспечения транспортной безопасности объектах транспортной инфраструктуры.</w:t>
      </w:r>
    </w:p>
    <w:p>
      <w:pPr>
        <w:pStyle w:val="Style12"/>
        <w:widowControl w:val="0"/>
        <w:keepNext w:val="0"/>
        <w:keepLines w:val="0"/>
        <w:shd w:val="clear" w:color="auto" w:fill="auto"/>
        <w:bidi w:val="0"/>
        <w:jc w:val="both"/>
        <w:spacing w:before="0" w:after="0" w:line="324" w:lineRule="exact"/>
        <w:ind w:left="20" w:right="200" w:firstLine="700"/>
      </w:pPr>
      <w:r>
        <w:rPr>
          <w:lang w:val="ru-RU" w:eastAsia="ru-RU" w:bidi="ru-RU"/>
          <w:w w:val="100"/>
          <w:spacing w:val="0"/>
          <w:color w:val="000000"/>
          <w:position w:val="0"/>
        </w:rPr>
        <w:t xml:space="preserve">Для достижению установленных целей, техническим зданием подразумевается замена и обслуживание, в том числе, следующего оборудования: (полный перечень </w:t>
      </w:r>
      <w:r>
        <w:rPr>
          <w:rStyle w:val="CharStyle14"/>
        </w:rPr>
        <w:t>оборудования установлен Приложением №1 к техническому заданию заказчика)</w:t>
      </w:r>
    </w:p>
    <w:tbl>
      <w:tblPr>
        <w:tblOverlap w:val="never"/>
        <w:tblLayout w:type="fixed"/>
        <w:jc w:val="center"/>
      </w:tblPr>
      <w:tblGrid>
        <w:gridCol w:w="976"/>
        <w:gridCol w:w="3136"/>
        <w:gridCol w:w="1541"/>
        <w:gridCol w:w="4756"/>
      </w:tblGrid>
      <w:tr>
        <w:trPr>
          <w:trHeight w:val="698" w:hRule="exact"/>
        </w:trPr>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Кондиционер сплит-система настенного типа </w:t>
            </w:r>
            <w:r>
              <w:rPr>
                <w:rStyle w:val="CharStyle20"/>
                <w:lang w:val="en-US" w:eastAsia="en-US" w:bidi="en-US"/>
              </w:rPr>
              <w:t xml:space="preserve">MSI </w:t>
            </w:r>
            <w:r>
              <w:rPr>
                <w:rStyle w:val="CharStyle20"/>
              </w:rPr>
              <w:t>1</w:t>
            </w:r>
            <w:r>
              <w:rPr>
                <w:rStyle w:val="CharStyle20"/>
                <w:lang w:val="en-US" w:eastAsia="en-US" w:bidi="en-US"/>
              </w:rPr>
              <w:t xml:space="preserve">D-07HRN </w:t>
            </w:r>
            <w:r>
              <w:rPr>
                <w:rStyle w:val="CharStyle20"/>
              </w:rPr>
              <w:t xml:space="preserve">1/МО </w:t>
            </w:r>
            <w:r>
              <w:rPr>
                <w:rStyle w:val="CharStyle20"/>
                <w:lang w:val="en-US" w:eastAsia="en-US" w:bidi="en-US"/>
              </w:rPr>
              <w:t>11D-07HN1</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22</w:t>
            </w:r>
          </w:p>
        </w:tc>
        <w:tc>
          <w:tcPr>
            <w:shd w:val="clear" w:color="auto" w:fill="FFFFFF"/>
            <w:tcBorders>
              <w:left w:val="single" w:sz="4"/>
              <w:righ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Выработан ресурс, перегрев компрессора, неработоспособность вентиляторов, засорение капиллярных трубок радиатора</w:t>
            </w:r>
          </w:p>
        </w:tc>
      </w:tr>
      <w:tr>
        <w:trPr>
          <w:trHeight w:val="684" w:hRule="exact"/>
        </w:trPr>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Сплит-система настенного типа </w:t>
            </w:r>
            <w:r>
              <w:rPr>
                <w:rStyle w:val="CharStyle20"/>
                <w:lang w:val="en-US" w:eastAsia="en-US" w:bidi="en-US"/>
              </w:rPr>
              <w:t>Samsung AQ07TSB</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6</w:t>
            </w:r>
          </w:p>
        </w:tc>
        <w:tc>
          <w:tcPr>
            <w:shd w:val="clear" w:color="auto" w:fill="FFFFFF"/>
            <w:tcBorders>
              <w:left w:val="single" w:sz="4"/>
              <w:righ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Выработан ресурс, перегрев компрессора, неработоспособность вентиляторов, засорение капиллярных трубок радиатора</w:t>
            </w:r>
          </w:p>
        </w:tc>
      </w:tr>
      <w:tr>
        <w:trPr>
          <w:trHeight w:val="464" w:hRule="exact"/>
        </w:trPr>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3</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Конвектор электрический, мощность обогрева 750 Вт </w:t>
            </w:r>
            <w:r>
              <w:rPr>
                <w:rStyle w:val="CharStyle20"/>
                <w:lang w:val="en-US" w:eastAsia="en-US" w:bidi="en-US"/>
              </w:rPr>
              <w:t>Stiebel Eltron</w:t>
            </w:r>
          </w:p>
        </w:tc>
        <w:tc>
          <w:tcPr>
            <w:shd w:val="clear" w:color="auto" w:fill="FFFFFF"/>
            <w:tcBorders>
              <w:left w:val="single" w:sz="4"/>
              <w:top w:val="single" w:sz="4"/>
            </w:tcBorders>
            <w:vAlign w:val="center"/>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11</w:t>
            </w:r>
          </w:p>
        </w:tc>
        <w:tc>
          <w:tcPr>
            <w:shd w:val="clear" w:color="auto" w:fill="FFFFFF"/>
            <w:tcBorders>
              <w:left w:val="single" w:sz="4"/>
              <w:righ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Выработан ресурс ТЭНа</w:t>
            </w:r>
          </w:p>
        </w:tc>
      </w:tr>
      <w:tr>
        <w:trPr>
          <w:trHeight w:val="1692" w:hRule="exact"/>
        </w:trPr>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купольная </w:t>
            </w:r>
            <w:r>
              <w:rPr>
                <w:rStyle w:val="CharStyle20"/>
                <w:lang w:val="en-US" w:eastAsia="en-US" w:bidi="en-US"/>
              </w:rPr>
              <w:t>IP</w:t>
            </w:r>
            <w:r>
              <w:rPr>
                <w:rStyle w:val="CharStyle20"/>
              </w:rPr>
              <w:t xml:space="preserve">-видеокамера внутренняя </w:t>
            </w:r>
            <w:r>
              <w:rPr>
                <w:rStyle w:val="CharStyle20"/>
                <w:lang w:val="en-US" w:eastAsia="en-US" w:bidi="en-US"/>
              </w:rPr>
              <w:t>BEWARD B1073DX</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w:t>
            </w:r>
          </w:p>
        </w:tc>
        <w:tc>
          <w:tcPr>
            <w:shd w:val="clear" w:color="auto" w:fill="FFFFFF"/>
            <w:tcBorders>
              <w:left w:val="single" w:sz="4"/>
              <w:righ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 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804" w:hRule="exact"/>
        </w:trPr>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5</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цветная </w:t>
            </w:r>
            <w:r>
              <w:rPr>
                <w:rStyle w:val="CharStyle20"/>
                <w:lang w:val="en-US" w:eastAsia="en-US" w:bidi="en-US"/>
              </w:rPr>
              <w:t>IP</w:t>
            </w:r>
            <w:r>
              <w:rPr>
                <w:rStyle w:val="CharStyle20"/>
              </w:rPr>
              <w:t xml:space="preserve">-камера стационарная наружная в уличном исполнении </w:t>
            </w:r>
            <w:r>
              <w:rPr>
                <w:rStyle w:val="CharStyle20"/>
                <w:lang w:val="en-US" w:eastAsia="en-US" w:bidi="en-US"/>
              </w:rPr>
              <w:t xml:space="preserve">BEWARD BD3370P-K </w:t>
            </w:r>
            <w:r>
              <w:rPr>
                <w:rStyle w:val="CharStyle20"/>
              </w:rPr>
              <w:t>с объективом</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86</w:t>
            </w:r>
          </w:p>
        </w:tc>
        <w:tc>
          <w:tcPr>
            <w:shd w:val="clear" w:color="auto" w:fill="FFFFFF"/>
            <w:tcBorders>
              <w:left w:val="single" w:sz="4"/>
              <w:righ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2034" w:hRule="exact"/>
        </w:trPr>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6</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lang w:val="en-US" w:eastAsia="en-US" w:bidi="en-US"/>
              </w:rPr>
              <w:t>IP</w:t>
            </w:r>
            <w:r>
              <w:rPr>
                <w:rStyle w:val="CharStyle20"/>
              </w:rPr>
              <w:t xml:space="preserve">-камера стационарная наружная в уличном исполнении </w:t>
            </w:r>
            <w:r>
              <w:rPr>
                <w:rStyle w:val="CharStyle20"/>
                <w:lang w:val="en-US" w:eastAsia="en-US" w:bidi="en-US"/>
              </w:rPr>
              <w:t xml:space="preserve">BEWARD BD3570- </w:t>
            </w:r>
            <w:r>
              <w:rPr>
                <w:rStyle w:val="CharStyle20"/>
              </w:rPr>
              <w:t>РК с объективом</w:t>
            </w:r>
          </w:p>
        </w:tc>
        <w:tc>
          <w:tcPr>
            <w:shd w:val="clear" w:color="auto" w:fill="FFFFFF"/>
            <w:tcBorders>
              <w:lef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10</w:t>
            </w:r>
          </w:p>
        </w:tc>
        <w:tc>
          <w:tcPr>
            <w:shd w:val="clear" w:color="auto" w:fill="FFFFFF"/>
            <w:tcBorders>
              <w:left w:val="single" w:sz="4"/>
              <w:right w:val="single" w:sz="4"/>
              <w:top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2110" w:hRule="exact"/>
        </w:trPr>
        <w:tc>
          <w:tcPr>
            <w:shd w:val="clear" w:color="auto" w:fill="FFFFFF"/>
            <w:tcBorders>
              <w:left w:val="single" w:sz="4"/>
              <w:top w:val="single" w:sz="4"/>
              <w:bottom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7</w:t>
            </w:r>
          </w:p>
        </w:tc>
        <w:tc>
          <w:tcPr>
            <w:shd w:val="clear" w:color="auto" w:fill="FFFFFF"/>
            <w:tcBorders>
              <w:left w:val="single" w:sz="4"/>
              <w:top w:val="single" w:sz="4"/>
              <w:bottom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 xml:space="preserve">Видеокамера поворотная наружная (с антивандальным куполом) </w:t>
            </w:r>
            <w:r>
              <w:rPr>
                <w:rStyle w:val="CharStyle20"/>
                <w:lang w:val="en-US" w:eastAsia="en-US" w:bidi="en-US"/>
              </w:rPr>
              <w:t>BEWARD BD75-5-VP</w:t>
            </w:r>
          </w:p>
        </w:tc>
        <w:tc>
          <w:tcPr>
            <w:shd w:val="clear" w:color="auto" w:fill="FFFFFF"/>
            <w:tcBorders>
              <w:left w:val="single" w:sz="4"/>
              <w:top w:val="single" w:sz="4"/>
              <w:bottom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14</w:t>
            </w:r>
          </w:p>
        </w:tc>
        <w:tc>
          <w:tcPr>
            <w:shd w:val="clear" w:color="auto" w:fill="FFFFFF"/>
            <w:tcBorders>
              <w:left w:val="single" w:sz="4"/>
              <w:right w:val="single" w:sz="4"/>
              <w:top w:val="single" w:sz="4"/>
              <w:bottom w:val="single" w:sz="4"/>
            </w:tcBorders>
            <w:vAlign w:val="top"/>
          </w:tcPr>
          <w:p>
            <w:pPr>
              <w:pStyle w:val="Style12"/>
              <w:framePr w:w="10408"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Изнашивание шестерни поворотного устройства, выгорание (старение) матрицы, нарушение герметичности (износ уплотнителей), царапины и затертость стекла 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bl>
    <w:p>
      <w:pPr>
        <w:widowControl w:val="0"/>
        <w:rPr>
          <w:sz w:val="2"/>
          <w:szCs w:val="2"/>
        </w:rPr>
      </w:pPr>
    </w:p>
    <w:tbl>
      <w:tblPr>
        <w:tblOverlap w:val="never"/>
        <w:tblLayout w:type="fixed"/>
        <w:jc w:val="center"/>
      </w:tblPr>
      <w:tblGrid>
        <w:gridCol w:w="979"/>
        <w:gridCol w:w="3132"/>
        <w:gridCol w:w="1541"/>
        <w:gridCol w:w="4759"/>
      </w:tblGrid>
      <w:tr>
        <w:trPr>
          <w:trHeight w:val="1793" w:hRule="exact"/>
        </w:trPr>
        <w:tc>
          <w:tcPr>
            <w:shd w:val="clear" w:color="auto" w:fill="FFFFFF"/>
            <w:tcBorders>
              <w:left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8</w:t>
            </w:r>
          </w:p>
        </w:tc>
        <w:tc>
          <w:tcPr>
            <w:shd w:val="clear" w:color="auto" w:fill="FFFFFF"/>
            <w:tcBorders>
              <w:left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91" w:lineRule="exact"/>
              <w:ind w:left="0" w:right="0" w:firstLine="0"/>
            </w:pPr>
            <w:r>
              <w:rPr>
                <w:rStyle w:val="CharStyle20"/>
              </w:rPr>
              <w:t xml:space="preserve">видеокамера уличная стационарная </w:t>
            </w:r>
            <w:r>
              <w:rPr>
                <w:rStyle w:val="CharStyle20"/>
                <w:lang w:val="en-US" w:eastAsia="en-US" w:bidi="en-US"/>
              </w:rPr>
              <w:t>IP BEWARD BD4330DV</w:t>
            </w:r>
          </w:p>
        </w:tc>
        <w:tc>
          <w:tcPr>
            <w:shd w:val="clear" w:color="auto" w:fill="FFFFFF"/>
            <w:tcBorders>
              <w:left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w:t>
            </w:r>
          </w:p>
        </w:tc>
        <w:tc>
          <w:tcPr>
            <w:shd w:val="clear" w:color="auto" w:fill="FFFFFF"/>
            <w:tcBorders>
              <w:left w:val="single" w:sz="4"/>
              <w:right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91"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лег включительно) по Пост. Правительства РФ от 01.01.2002 г. № 1)</w:t>
            </w:r>
          </w:p>
        </w:tc>
      </w:tr>
      <w:tr>
        <w:trPr>
          <w:trHeight w:val="1976" w:hRule="exact"/>
        </w:trPr>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9</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lang w:val="en-US" w:eastAsia="en-US" w:bidi="en-US"/>
              </w:rPr>
              <w:t xml:space="preserve">IP </w:t>
            </w:r>
            <w:r>
              <w:rPr>
                <w:rStyle w:val="CharStyle20"/>
              </w:rPr>
              <w:t xml:space="preserve">видеокамера уличная фиксированная корпусная в гермокожухе </w:t>
            </w:r>
            <w:r>
              <w:rPr>
                <w:rStyle w:val="CharStyle20"/>
                <w:lang w:val="en-US" w:eastAsia="en-US" w:bidi="en-US"/>
              </w:rPr>
              <w:t>BEWARD N37210</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46</w:t>
            </w:r>
          </w:p>
        </w:tc>
        <w:tc>
          <w:tcPr>
            <w:shd w:val="clear" w:color="auto" w:fill="FFFFFF"/>
            <w:tcBorders>
              <w:left w:val="single" w:sz="4"/>
              <w:righ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Выгорание (старение) матрицы, нарушение герметичности (износ уплотнителей), царапины и затертость стекла термокожуха, под воздействием агрессивной среды от реагентов выработан ресурс радиоэлектронных компонентов (окисление) и коррозия кронштейна. Заканчивается срок полезного </w:t>
            </w:r>
            <w:r>
              <w:rPr>
                <w:rStyle w:val="CharStyle21"/>
              </w:rPr>
              <w:t xml:space="preserve">использования (четвертая амортизационная группа (имущество </w:t>
            </w:r>
            <w:r>
              <w:rPr>
                <w:rStyle w:val="CharStyle20"/>
              </w:rPr>
              <w:t>со сроком полезного использования свыше 5 лет до 7 лет включительно) по Пост. Правительства РФ от 01.01.2002 г. № 1)</w:t>
            </w:r>
          </w:p>
        </w:tc>
      </w:tr>
      <w:tr>
        <w:trPr>
          <w:trHeight w:val="2272" w:hRule="exact"/>
        </w:trPr>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10</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Поворотная камера для уличной установки (с кронштейном) </w:t>
            </w:r>
            <w:r>
              <w:rPr>
                <w:rStyle w:val="CharStyle20"/>
                <w:lang w:val="en-US" w:eastAsia="en-US" w:bidi="en-US"/>
              </w:rPr>
              <w:t xml:space="preserve">Bosch VG5- </w:t>
            </w:r>
            <w:r>
              <w:rPr>
                <w:rStyle w:val="CharStyle20"/>
              </w:rPr>
              <w:t>7220-ЕРС4</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6</w:t>
            </w:r>
          </w:p>
        </w:tc>
        <w:tc>
          <w:tcPr>
            <w:shd w:val="clear" w:color="auto" w:fill="FFFFFF"/>
            <w:tcBorders>
              <w:left w:val="single" w:sz="4"/>
              <w:righ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Изнашивание шестерни поворотного устройства, выгорание (старение) матрицы, нарушение герметичности (износ уплотнителей), царапины и затертость стекла 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847" w:hRule="exact"/>
        </w:trPr>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11</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lang w:val="en-US" w:eastAsia="en-US" w:bidi="en-US"/>
              </w:rPr>
              <w:t xml:space="preserve">IP </w:t>
            </w:r>
            <w:r>
              <w:rPr>
                <w:rStyle w:val="CharStyle20"/>
              </w:rPr>
              <w:t xml:space="preserve">видеокамера уличная фиксированная корпусная в гермокожухе </w:t>
            </w:r>
            <w:r>
              <w:rPr>
                <w:rStyle w:val="CharStyle20"/>
                <w:lang w:val="en-US" w:eastAsia="en-US" w:bidi="en-US"/>
              </w:rPr>
              <w:t xml:space="preserve">Bosch NBN- </w:t>
            </w:r>
            <w:r>
              <w:rPr>
                <w:rStyle w:val="CharStyle20"/>
              </w:rPr>
              <w:t>71013В с объективом</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54</w:t>
            </w:r>
          </w:p>
        </w:tc>
        <w:tc>
          <w:tcPr>
            <w:shd w:val="clear" w:color="auto" w:fill="FFFFFF"/>
            <w:tcBorders>
              <w:left w:val="single" w:sz="4"/>
              <w:righ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2473" w:hRule="exact"/>
        </w:trPr>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12</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Купольная </w:t>
            </w:r>
            <w:r>
              <w:rPr>
                <w:rStyle w:val="CharStyle20"/>
                <w:lang w:val="en-US" w:eastAsia="en-US" w:bidi="en-US"/>
              </w:rPr>
              <w:t xml:space="preserve">IP </w:t>
            </w:r>
            <w:r>
              <w:rPr>
                <w:rStyle w:val="CharStyle20"/>
              </w:rPr>
              <w:t xml:space="preserve">камера </w:t>
            </w:r>
            <w:r>
              <w:rPr>
                <w:rStyle w:val="CharStyle20"/>
                <w:lang w:val="en-US" w:eastAsia="en-US" w:bidi="en-US"/>
              </w:rPr>
              <w:t xml:space="preserve">Bosch NDN-832V03- </w:t>
            </w:r>
            <w:r>
              <w:rPr>
                <w:rStyle w:val="CharStyle20"/>
              </w:rPr>
              <w:t>Р</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3</w:t>
            </w:r>
          </w:p>
        </w:tc>
        <w:tc>
          <w:tcPr>
            <w:shd w:val="clear" w:color="auto" w:fill="FFFFFF"/>
            <w:tcBorders>
              <w:left w:val="single" w:sz="4"/>
              <w:righ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804" w:hRule="exact"/>
        </w:trPr>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13</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1Р-видеокамера </w:t>
            </w:r>
            <w:r>
              <w:rPr>
                <w:rStyle w:val="CharStyle20"/>
                <w:lang w:val="en-US" w:eastAsia="en-US" w:bidi="en-US"/>
              </w:rPr>
              <w:t xml:space="preserve">Hikvision DS-2CD8254F- EI </w:t>
            </w:r>
            <w:r>
              <w:rPr>
                <w:rStyle w:val="CharStyle20"/>
              </w:rPr>
              <w:t>(на мостовых опорах)</w:t>
            </w:r>
          </w:p>
        </w:tc>
        <w:tc>
          <w:tcPr>
            <w:shd w:val="clear" w:color="auto" w:fill="FFFFFF"/>
            <w:tcBorders>
              <w:lef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10</w:t>
            </w:r>
          </w:p>
        </w:tc>
        <w:tc>
          <w:tcPr>
            <w:shd w:val="clear" w:color="auto" w:fill="FFFFFF"/>
            <w:tcBorders>
              <w:left w:val="single" w:sz="4"/>
              <w:right w:val="single" w:sz="4"/>
              <w:top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829" w:hRule="exact"/>
        </w:trPr>
        <w:tc>
          <w:tcPr>
            <w:shd w:val="clear" w:color="auto" w:fill="FFFFFF"/>
            <w:tcBorders>
              <w:left w:val="single" w:sz="4"/>
              <w:top w:val="single" w:sz="4"/>
              <w:bottom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14</w:t>
            </w:r>
          </w:p>
        </w:tc>
        <w:tc>
          <w:tcPr>
            <w:shd w:val="clear" w:color="auto" w:fill="FFFFFF"/>
            <w:tcBorders>
              <w:left w:val="single" w:sz="4"/>
              <w:top w:val="single" w:sz="4"/>
              <w:bottom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lang w:val="en-US" w:eastAsia="en-US" w:bidi="en-US"/>
              </w:rPr>
              <w:t>IP</w:t>
            </w:r>
            <w:r>
              <w:rPr>
                <w:rStyle w:val="CharStyle20"/>
              </w:rPr>
              <w:t xml:space="preserve">-видеокамера поворотная </w:t>
            </w:r>
            <w:r>
              <w:rPr>
                <w:rStyle w:val="CharStyle20"/>
                <w:lang w:val="en-US" w:eastAsia="en-US" w:bidi="en-US"/>
              </w:rPr>
              <w:t xml:space="preserve">Hikvision DS- 2DF1-518 </w:t>
            </w:r>
            <w:r>
              <w:rPr>
                <w:rStyle w:val="CharStyle20"/>
              </w:rPr>
              <w:t>(на мостовых опорах)</w:t>
            </w:r>
          </w:p>
        </w:tc>
        <w:tc>
          <w:tcPr>
            <w:shd w:val="clear" w:color="auto" w:fill="FFFFFF"/>
            <w:tcBorders>
              <w:left w:val="single" w:sz="4"/>
              <w:top w:val="single" w:sz="4"/>
              <w:bottom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w:t>
            </w:r>
          </w:p>
        </w:tc>
        <w:tc>
          <w:tcPr>
            <w:shd w:val="clear" w:color="auto" w:fill="FFFFFF"/>
            <w:tcBorders>
              <w:left w:val="single" w:sz="4"/>
              <w:right w:val="single" w:sz="4"/>
              <w:top w:val="single" w:sz="4"/>
              <w:bottom w:val="single" w:sz="4"/>
            </w:tcBorders>
            <w:vAlign w:val="top"/>
          </w:tcPr>
          <w:p>
            <w:pPr>
              <w:pStyle w:val="Style12"/>
              <w:framePr w:w="10411"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Изнашивание шестерни поворотного устройства, выгорание (старение) матрицы, нарушение герметичности (износ уплотнителей), царапины и затертость стекла 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bl>
    <w:p>
      <w:pPr>
        <w:widowControl w:val="0"/>
        <w:rPr>
          <w:sz w:val="2"/>
          <w:szCs w:val="2"/>
        </w:rPr>
      </w:pPr>
    </w:p>
    <w:tbl>
      <w:tblPr>
        <w:tblOverlap w:val="never"/>
        <w:tblLayout w:type="fixed"/>
        <w:jc w:val="center"/>
      </w:tblPr>
      <w:tblGrid>
        <w:gridCol w:w="983"/>
        <w:gridCol w:w="3136"/>
        <w:gridCol w:w="1537"/>
        <w:gridCol w:w="4759"/>
      </w:tblGrid>
      <w:tr>
        <w:trPr>
          <w:trHeight w:val="1890" w:hRule="exact"/>
        </w:trPr>
        <w:tc>
          <w:tcPr>
            <w:shd w:val="clear" w:color="auto" w:fill="FFFFFF"/>
            <w:tcBorders>
              <w:left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15</w:t>
            </w:r>
          </w:p>
        </w:tc>
        <w:tc>
          <w:tcPr>
            <w:shd w:val="clear" w:color="auto" w:fill="FFFFFF"/>
            <w:tcBorders>
              <w:left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91" w:lineRule="exact"/>
              <w:ind w:left="0" w:right="0" w:firstLine="0"/>
            </w:pPr>
            <w:r>
              <w:rPr>
                <w:rStyle w:val="CharStyle20"/>
                <w:lang w:val="en-US" w:eastAsia="en-US" w:bidi="en-US"/>
              </w:rPr>
              <w:t>IP</w:t>
            </w:r>
            <w:r>
              <w:rPr>
                <w:rStyle w:val="CharStyle20"/>
              </w:rPr>
              <w:t xml:space="preserve">-видеокамера </w:t>
            </w:r>
            <w:r>
              <w:rPr>
                <w:rStyle w:val="CharStyle20"/>
                <w:lang w:val="en-US" w:eastAsia="en-US" w:bidi="en-US"/>
              </w:rPr>
              <w:t>Hikvision DS- 2CD864FWD-E</w:t>
            </w:r>
          </w:p>
        </w:tc>
        <w:tc>
          <w:tcPr>
            <w:shd w:val="clear" w:color="auto" w:fill="FFFFFF"/>
            <w:tcBorders>
              <w:left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2</w:t>
            </w:r>
          </w:p>
        </w:tc>
        <w:tc>
          <w:tcPr>
            <w:shd w:val="clear" w:color="auto" w:fill="FFFFFF"/>
            <w:tcBorders>
              <w:left w:val="single" w:sz="4"/>
              <w:right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Выгорание (старение) матрицы, нарушение герметичности (износ уплотнителей), царапины и затертость стекла термокожуха, коррозия кронштейна.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598"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16</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Однопортовая грозозащита </w:t>
            </w:r>
            <w:r>
              <w:rPr>
                <w:rStyle w:val="CharStyle20"/>
                <w:lang w:val="en-US" w:eastAsia="en-US" w:bidi="en-US"/>
              </w:rPr>
              <w:t>NAG-IP</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114</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Не работают, выработан ресурс радиоэлектронных компонентов</w:t>
            </w:r>
          </w:p>
        </w:tc>
      </w:tr>
      <w:tr>
        <w:trPr>
          <w:trHeight w:val="1145"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17</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94" w:lineRule="exact"/>
              <w:ind w:left="0" w:right="0" w:firstLine="0"/>
            </w:pPr>
            <w:r>
              <w:rPr>
                <w:rStyle w:val="CharStyle20"/>
              </w:rPr>
              <w:t xml:space="preserve">прожектор инфракрасный всепогодный </w:t>
            </w:r>
            <w:r>
              <w:rPr>
                <w:rStyle w:val="CharStyle20"/>
                <w:lang w:val="en-US" w:eastAsia="en-US" w:bidi="en-US"/>
              </w:rPr>
              <w:t>D56-850-35</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2</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Светодиоды отработали свой ресурс, потеря мощности.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141"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18</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Прожектор инфракрасный всепогодный </w:t>
            </w:r>
            <w:r>
              <w:rPr>
                <w:rStyle w:val="CharStyle20"/>
                <w:lang w:val="en-US" w:eastAsia="en-US" w:bidi="en-US"/>
              </w:rPr>
              <w:t>D56-850-52</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6</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Светодиоды отработали свой ресурс, потеря мощности.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138"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19</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Прожектор инфракрасный всепогодный </w:t>
            </w:r>
            <w:r>
              <w:rPr>
                <w:rStyle w:val="CharStyle20"/>
                <w:lang w:val="en-US" w:eastAsia="en-US" w:bidi="en-US"/>
              </w:rPr>
              <w:t>D126-850-35B</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6</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Светодиоды отработали свой ресурс, потеря мощности.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141"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20</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 xml:space="preserve">Прожектор инфракрасный всепогодный </w:t>
            </w:r>
            <w:r>
              <w:rPr>
                <w:rStyle w:val="CharStyle20"/>
                <w:lang w:val="en-US" w:eastAsia="en-US" w:bidi="en-US"/>
              </w:rPr>
              <w:t>DC D126-850-35</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21</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Светодиоды отработали свой ресурс, потеря мощности.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138"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21</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91" w:lineRule="exact"/>
              <w:ind w:left="0" w:right="0" w:firstLine="0"/>
            </w:pPr>
            <w:r>
              <w:rPr>
                <w:rStyle w:val="CharStyle20"/>
              </w:rPr>
              <w:t xml:space="preserve">прожектор инфракрасный всепогодный </w:t>
            </w:r>
            <w:r>
              <w:rPr>
                <w:rStyle w:val="CharStyle20"/>
                <w:lang w:val="en-US" w:eastAsia="en-US" w:bidi="en-US"/>
              </w:rPr>
              <w:t>D140-850-35</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38</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Светодиоды отработали свой ресурс, потеря мощности.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148"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22</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прожектор инфракрасный всепогодный </w:t>
            </w:r>
            <w:r>
              <w:rPr>
                <w:rStyle w:val="CharStyle20"/>
                <w:lang w:val="en-US" w:eastAsia="en-US" w:bidi="en-US"/>
              </w:rPr>
              <w:t>D252-850-35</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44</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Светодиоды отработали свой ресурс, потеря мощности.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141"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23</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91" w:lineRule="exact"/>
              <w:ind w:left="0" w:right="0" w:firstLine="0"/>
            </w:pPr>
            <w:r>
              <w:rPr>
                <w:rStyle w:val="CharStyle20"/>
              </w:rPr>
              <w:t xml:space="preserve">прожектор инфракрасный всепогодный </w:t>
            </w:r>
            <w:r>
              <w:rPr>
                <w:rStyle w:val="CharStyle20"/>
                <w:lang w:val="en-US" w:eastAsia="en-US" w:bidi="en-US"/>
              </w:rPr>
              <w:t>D252-850-52</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3</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Светодиоды отработали свой ресурс, потеря мощности.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357"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41</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Жесткий диск </w:t>
            </w:r>
            <w:r>
              <w:rPr>
                <w:rStyle w:val="CharStyle20"/>
                <w:lang w:val="en-US" w:eastAsia="en-US" w:bidi="en-US"/>
              </w:rPr>
              <w:t xml:space="preserve">4TB SC 6G </w:t>
            </w:r>
            <w:r>
              <w:rPr>
                <w:rStyle w:val="CharStyle20"/>
              </w:rPr>
              <w:t xml:space="preserve">7.2К </w:t>
            </w:r>
            <w:r>
              <w:rPr>
                <w:rStyle w:val="CharStyle20"/>
                <w:lang w:val="en-US" w:eastAsia="en-US" w:bidi="en-US"/>
              </w:rPr>
              <w:t xml:space="preserve">LFF SAT </w:t>
            </w:r>
            <w:r>
              <w:rPr>
                <w:rStyle w:val="CharStyle20"/>
              </w:rPr>
              <w:t xml:space="preserve">А </w:t>
            </w:r>
            <w:r>
              <w:rPr>
                <w:rStyle w:val="CharStyle20"/>
                <w:lang w:val="en-US" w:eastAsia="en-US" w:bidi="en-US"/>
              </w:rPr>
              <w:t>HotPlug Midline Drive</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8</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Превышено нормативное количество циклов перезаписи, наличие сбойных секторов на дисках. 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354" w:hRule="exact"/>
        </w:trPr>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42</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Жесткий диск </w:t>
            </w:r>
            <w:r>
              <w:rPr>
                <w:rStyle w:val="CharStyle20"/>
                <w:lang w:val="en-US" w:eastAsia="en-US" w:bidi="en-US"/>
              </w:rPr>
              <w:t>SATA 500Gb Western Digital WD5003ABYZ</w:t>
            </w:r>
          </w:p>
        </w:tc>
        <w:tc>
          <w:tcPr>
            <w:shd w:val="clear" w:color="auto" w:fill="FFFFFF"/>
            <w:tcBorders>
              <w:lef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2</w:t>
            </w:r>
          </w:p>
        </w:tc>
        <w:tc>
          <w:tcPr>
            <w:shd w:val="clear" w:color="auto" w:fill="FFFFFF"/>
            <w:tcBorders>
              <w:left w:val="single" w:sz="4"/>
              <w:right w:val="single" w:sz="4"/>
              <w:top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Превышено нормативное количество циклов перезаписи, наличие сбойных секторов на дисках. 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361" w:hRule="exact"/>
        </w:trPr>
        <w:tc>
          <w:tcPr>
            <w:shd w:val="clear" w:color="auto" w:fill="FFFFFF"/>
            <w:tcBorders>
              <w:left w:val="single" w:sz="4"/>
              <w:top w:val="single" w:sz="4"/>
              <w:bottom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43</w:t>
            </w:r>
          </w:p>
        </w:tc>
        <w:tc>
          <w:tcPr>
            <w:shd w:val="clear" w:color="auto" w:fill="FFFFFF"/>
            <w:tcBorders>
              <w:left w:val="single" w:sz="4"/>
              <w:top w:val="single" w:sz="4"/>
              <w:bottom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Жесткий диск </w:t>
            </w:r>
            <w:r>
              <w:rPr>
                <w:rStyle w:val="CharStyle20"/>
                <w:lang w:val="en-US" w:eastAsia="en-US" w:bidi="en-US"/>
              </w:rPr>
              <w:t>SATA 2 Tb Western Digital WD2003FYYS</w:t>
            </w:r>
          </w:p>
        </w:tc>
        <w:tc>
          <w:tcPr>
            <w:shd w:val="clear" w:color="auto" w:fill="FFFFFF"/>
            <w:tcBorders>
              <w:left w:val="single" w:sz="4"/>
              <w:top w:val="single" w:sz="4"/>
              <w:bottom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36</w:t>
            </w:r>
          </w:p>
        </w:tc>
        <w:tc>
          <w:tcPr>
            <w:shd w:val="clear" w:color="auto" w:fill="FFFFFF"/>
            <w:tcBorders>
              <w:left w:val="single" w:sz="4"/>
              <w:right w:val="single" w:sz="4"/>
              <w:top w:val="single" w:sz="4"/>
              <w:bottom w:val="single" w:sz="4"/>
            </w:tcBorders>
            <w:vAlign w:val="top"/>
          </w:tcPr>
          <w:p>
            <w:pPr>
              <w:pStyle w:val="Style12"/>
              <w:framePr w:w="10415"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Превышено нормативное количество циклов перезаписи, наличие сбойных секторов на дисках. 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bl>
    <w:p>
      <w:pPr>
        <w:widowControl w:val="0"/>
        <w:rPr>
          <w:sz w:val="2"/>
          <w:szCs w:val="2"/>
        </w:rPr>
      </w:pPr>
    </w:p>
    <w:tbl>
      <w:tblPr>
        <w:tblOverlap w:val="never"/>
        <w:tblLayout w:type="fixed"/>
        <w:jc w:val="center"/>
      </w:tblPr>
      <w:tblGrid>
        <w:gridCol w:w="972"/>
        <w:gridCol w:w="3136"/>
        <w:gridCol w:w="1541"/>
        <w:gridCol w:w="4752"/>
      </w:tblGrid>
      <w:tr>
        <w:trPr>
          <w:trHeight w:val="1418" w:hRule="exact"/>
        </w:trPr>
        <w:tc>
          <w:tcPr>
            <w:shd w:val="clear" w:color="auto" w:fill="FFFFFF"/>
            <w:tcBorders>
              <w:left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44</w:t>
            </w:r>
          </w:p>
        </w:tc>
        <w:tc>
          <w:tcPr>
            <w:shd w:val="clear" w:color="auto" w:fill="FFFFFF"/>
            <w:tcBorders>
              <w:left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Монитор 23” </w:t>
            </w:r>
            <w:r>
              <w:rPr>
                <w:rStyle w:val="CharStyle20"/>
                <w:lang w:val="en-US" w:eastAsia="en-US" w:bidi="en-US"/>
              </w:rPr>
              <w:t xml:space="preserve">Dell </w:t>
            </w:r>
            <w:r>
              <w:rPr>
                <w:rStyle w:val="CharStyle20"/>
              </w:rPr>
              <w:t>Р2312Н</w:t>
            </w:r>
          </w:p>
        </w:tc>
        <w:tc>
          <w:tcPr>
            <w:shd w:val="clear" w:color="auto" w:fill="FFFFFF"/>
            <w:tcBorders>
              <w:left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13</w:t>
            </w:r>
          </w:p>
        </w:tc>
        <w:tc>
          <w:tcPr>
            <w:shd w:val="clear" w:color="auto" w:fill="FFFFFF"/>
            <w:tcBorders>
              <w:left w:val="single" w:sz="4"/>
              <w:right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Старение </w:t>
            </w:r>
            <w:r>
              <w:rPr>
                <w:rStyle w:val="CharStyle20"/>
                <w:lang w:val="en-US" w:eastAsia="en-US" w:bidi="en-US"/>
              </w:rPr>
              <w:t>TFT</w:t>
            </w:r>
            <w:r>
              <w:rPr>
                <w:rStyle w:val="CharStyle20"/>
              </w:rPr>
              <w:t>-матрицы, светодиодная подсветка не обеспечивает нормативную яркость (светодиоды отработали свой ресурс).</w:t>
            </w:r>
          </w:p>
          <w:p>
            <w:pPr>
              <w:pStyle w:val="Style12"/>
              <w:framePr w:w="10400"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Превышен срок полезного использования- Вторая </w:t>
            </w:r>
            <w:r>
              <w:rPr>
                <w:rStyle w:val="CharStyle21"/>
              </w:rPr>
              <w:t xml:space="preserve">амортизационная группа (имущество со сроком полезного </w:t>
            </w:r>
            <w:r>
              <w:rPr>
                <w:rStyle w:val="CharStyle20"/>
              </w:rPr>
              <w:t>использования свыше 2 лет до 3 лет включительно) по Пост. Правительства РФ от 01.01.2002 г. № 1)</w:t>
            </w:r>
          </w:p>
        </w:tc>
      </w:tr>
      <w:tr>
        <w:trPr>
          <w:trHeight w:val="1386"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45</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Монитор 23" </w:t>
            </w:r>
            <w:r>
              <w:rPr>
                <w:rStyle w:val="CharStyle20"/>
                <w:lang w:val="en-US" w:eastAsia="en-US" w:bidi="en-US"/>
              </w:rPr>
              <w:t xml:space="preserve">Dell </w:t>
            </w:r>
            <w:r>
              <w:rPr>
                <w:rStyle w:val="CharStyle20"/>
              </w:rPr>
              <w:t>Р2314НМ</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9</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Старение </w:t>
            </w:r>
            <w:r>
              <w:rPr>
                <w:rStyle w:val="CharStyle20"/>
                <w:lang w:val="en-US" w:eastAsia="en-US" w:bidi="en-US"/>
              </w:rPr>
              <w:t>TFT</w:t>
            </w:r>
            <w:r>
              <w:rPr>
                <w:rStyle w:val="CharStyle20"/>
              </w:rPr>
              <w:t>-матрицы, светодиодная подсветка не обеспечивает нормативную яркость (светодиоды отработали свой ресурс).</w:t>
            </w:r>
          </w:p>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375"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46</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Монитор 23" </w:t>
            </w:r>
            <w:r>
              <w:rPr>
                <w:rStyle w:val="CharStyle20"/>
                <w:lang w:val="en-US" w:eastAsia="en-US" w:bidi="en-US"/>
              </w:rPr>
              <w:t>Samsung MD230X6</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Старение </w:t>
            </w:r>
            <w:r>
              <w:rPr>
                <w:rStyle w:val="CharStyle20"/>
                <w:lang w:val="en-US" w:eastAsia="en-US" w:bidi="en-US"/>
              </w:rPr>
              <w:t>TFT</w:t>
            </w:r>
            <w:r>
              <w:rPr>
                <w:rStyle w:val="CharStyle20"/>
              </w:rPr>
              <w:t>-матрицы, светодиодная подсветка не обеспечивает нормативную яркость (светодиоды отработали свой ресурс).</w:t>
            </w:r>
          </w:p>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357"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47</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Монитор 23" </w:t>
            </w:r>
            <w:r>
              <w:rPr>
                <w:rStyle w:val="CharStyle20"/>
                <w:lang w:val="en-US" w:eastAsia="en-US" w:bidi="en-US"/>
              </w:rPr>
              <w:t>Samsung S23B350H</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2</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Старение </w:t>
            </w:r>
            <w:r>
              <w:rPr>
                <w:rStyle w:val="CharStyle20"/>
                <w:lang w:val="en-US" w:eastAsia="en-US" w:bidi="en-US"/>
              </w:rPr>
              <w:t>TFT</w:t>
            </w:r>
            <w:r>
              <w:rPr>
                <w:rStyle w:val="CharStyle20"/>
              </w:rPr>
              <w:t>-матрицы, светодиодная подсветка не обеспечивает нормативную яркость (светодиоды отработали свой ресурс).</w:t>
            </w:r>
          </w:p>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364"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48</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Монитор 23 </w:t>
            </w:r>
            <w:r>
              <w:rPr>
                <w:rStyle w:val="CharStyle20"/>
                <w:lang w:val="en-US" w:eastAsia="en-US" w:bidi="en-US"/>
              </w:rPr>
              <w:t>Samsung S23B300B</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6</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Старение </w:t>
            </w:r>
            <w:r>
              <w:rPr>
                <w:rStyle w:val="CharStyle20"/>
                <w:lang w:val="en-US" w:eastAsia="en-US" w:bidi="en-US"/>
              </w:rPr>
              <w:t>TFT</w:t>
            </w:r>
            <w:r>
              <w:rPr>
                <w:rStyle w:val="CharStyle20"/>
              </w:rPr>
              <w:t>-матрицы, светодиодная подсветка не обеспечивает нормативную яркость (светодиоды отработали свой ресурс).</w:t>
            </w:r>
          </w:p>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372"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49</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Монитор 32" АОС </w:t>
            </w:r>
            <w:r>
              <w:rPr>
                <w:rStyle w:val="CharStyle20"/>
                <w:lang w:val="en-US" w:eastAsia="en-US" w:bidi="en-US"/>
              </w:rPr>
              <w:t>Professional Q3277PQU</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Старение </w:t>
            </w:r>
            <w:r>
              <w:rPr>
                <w:rStyle w:val="CharStyle20"/>
                <w:lang w:val="en-US" w:eastAsia="en-US" w:bidi="en-US"/>
              </w:rPr>
              <w:t>TFT</w:t>
            </w:r>
            <w:r>
              <w:rPr>
                <w:rStyle w:val="CharStyle20"/>
              </w:rPr>
              <w:t>-матрицы, светодиодная подсветка не обеспечивает нормативную яркость (светодиоды отработали свой ресурс).</w:t>
            </w:r>
          </w:p>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368"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50</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 xml:space="preserve">Монитор 27" </w:t>
            </w:r>
            <w:r>
              <w:rPr>
                <w:rStyle w:val="CharStyle20"/>
                <w:lang w:val="en-US" w:eastAsia="en-US" w:bidi="en-US"/>
              </w:rPr>
              <w:t>Acer V276HLbd VA</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1</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 xml:space="preserve">Старение </w:t>
            </w:r>
            <w:r>
              <w:rPr>
                <w:rStyle w:val="CharStyle20"/>
                <w:lang w:val="en-US" w:eastAsia="en-US" w:bidi="en-US"/>
              </w:rPr>
              <w:t>TFT</w:t>
            </w:r>
            <w:r>
              <w:rPr>
                <w:rStyle w:val="CharStyle20"/>
              </w:rPr>
              <w:t>-матрицы, светодиодная подсветка не обеспечивает нормативную яркость (светодиоды отработали свой ресурс).</w:t>
            </w:r>
          </w:p>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Превышен срок полезного использования- Вторая амортизационная группа (имущество со сроком полезного использования свыше 2 лет до 3 лет включительно) по Пост. Правительства РФ от 01.01.2002 г. № 1)</w:t>
            </w:r>
          </w:p>
        </w:tc>
      </w:tr>
      <w:tr>
        <w:trPr>
          <w:trHeight w:val="1472"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65</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Оповещатель Маяк-24-ЗМ исп. 1</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8</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4" w:lineRule="exact"/>
              <w:ind w:left="0" w:right="0" w:firstLine="0"/>
            </w:pPr>
            <w:r>
              <w:rPr>
                <w:rStyle w:val="CharStyle20"/>
              </w:rPr>
              <w:t>Под воздействием солнечных лучей произошло высыхание и частичное разрушение (трещины) пластиковых деталей корпуса.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447" w:hRule="exact"/>
        </w:trPr>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66</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Звуковой оповещатель АСТ-24</w:t>
            </w:r>
          </w:p>
        </w:tc>
        <w:tc>
          <w:tcPr>
            <w:shd w:val="clear" w:color="auto" w:fill="FFFFFF"/>
            <w:tcBorders>
              <w:lef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8</w:t>
            </w:r>
          </w:p>
        </w:tc>
        <w:tc>
          <w:tcPr>
            <w:shd w:val="clear" w:color="auto" w:fill="FFFFFF"/>
            <w:tcBorders>
              <w:left w:val="single" w:sz="4"/>
              <w:right w:val="single" w:sz="4"/>
              <w:top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Под воздействием солнечных лучей произошло высыхание и частичное разрушение (трещины) пластиковых деталей корпуса.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r>
        <w:trPr>
          <w:trHeight w:val="1357" w:hRule="exact"/>
        </w:trPr>
        <w:tc>
          <w:tcPr>
            <w:shd w:val="clear" w:color="auto" w:fill="FFFFFF"/>
            <w:tcBorders>
              <w:left w:val="single" w:sz="4"/>
              <w:top w:val="single" w:sz="4"/>
              <w:bottom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87</w:t>
            </w:r>
          </w:p>
        </w:tc>
        <w:tc>
          <w:tcPr>
            <w:shd w:val="clear" w:color="auto" w:fill="FFFFFF"/>
            <w:tcBorders>
              <w:left w:val="single" w:sz="4"/>
              <w:top w:val="single" w:sz="4"/>
              <w:bottom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7" w:lineRule="exact"/>
              <w:ind w:left="0" w:right="0" w:firstLine="0"/>
            </w:pPr>
            <w:r>
              <w:rPr>
                <w:rStyle w:val="CharStyle20"/>
              </w:rPr>
              <w:t xml:space="preserve">Громкоговоритель рупорный </w:t>
            </w:r>
            <w:r>
              <w:rPr>
                <w:rStyle w:val="CharStyle20"/>
                <w:lang w:val="en-US" w:eastAsia="en-US" w:bidi="en-US"/>
              </w:rPr>
              <w:t xml:space="preserve">lnter-M HS- </w:t>
            </w:r>
            <w:r>
              <w:rPr>
                <w:rStyle w:val="CharStyle20"/>
              </w:rPr>
              <w:t>20</w:t>
            </w:r>
          </w:p>
        </w:tc>
        <w:tc>
          <w:tcPr>
            <w:shd w:val="clear" w:color="auto" w:fill="FFFFFF"/>
            <w:tcBorders>
              <w:left w:val="single" w:sz="4"/>
              <w:top w:val="single" w:sz="4"/>
              <w:bottom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91</w:t>
            </w:r>
          </w:p>
        </w:tc>
        <w:tc>
          <w:tcPr>
            <w:shd w:val="clear" w:color="auto" w:fill="FFFFFF"/>
            <w:tcBorders>
              <w:left w:val="single" w:sz="4"/>
              <w:right w:val="single" w:sz="4"/>
              <w:top w:val="single" w:sz="4"/>
              <w:bottom w:val="single" w:sz="4"/>
            </w:tcBorders>
            <w:vAlign w:val="top"/>
          </w:tcPr>
          <w:p>
            <w:pPr>
              <w:pStyle w:val="Style12"/>
              <w:framePr w:w="10400" w:wrap="notBeside" w:vAnchor="text" w:hAnchor="text" w:xAlign="center" w:y="1"/>
              <w:widowControl w:val="0"/>
              <w:keepNext w:val="0"/>
              <w:keepLines w:val="0"/>
              <w:shd w:val="clear" w:color="auto" w:fill="auto"/>
              <w:bidi w:val="0"/>
              <w:jc w:val="center"/>
              <w:spacing w:before="0" w:after="0" w:line="180" w:lineRule="exact"/>
              <w:ind w:left="0" w:right="0" w:firstLine="0"/>
            </w:pPr>
            <w:r>
              <w:rPr>
                <w:rStyle w:val="CharStyle20"/>
              </w:rPr>
              <w:t>Под воздействием солнечных лучей произошло высыхание и частичное разрушение (трещины) пластиковых деталей корпуса. Превышен срок полезного использования (четвертая амортизационная группа (имущество со сроком полезного использования свыше 5 лет до 7 лет включительно) по Пост. Правительства РФ от 01.01.2002 г. № 1)</w:t>
            </w:r>
          </w:p>
        </w:tc>
      </w:tr>
    </w:tbl>
    <w:p>
      <w:pPr>
        <w:widowControl w:val="0"/>
        <w:rPr>
          <w:sz w:val="2"/>
          <w:szCs w:val="2"/>
        </w:rPr>
      </w:pPr>
    </w:p>
    <w:tbl>
      <w:tblPr>
        <w:tblOverlap w:val="never"/>
        <w:tblLayout w:type="fixed"/>
        <w:jc w:val="center"/>
      </w:tblPr>
      <w:tblGrid>
        <w:gridCol w:w="961"/>
        <w:gridCol w:w="3132"/>
        <w:gridCol w:w="1541"/>
        <w:gridCol w:w="4738"/>
      </w:tblGrid>
      <w:tr>
        <w:trPr>
          <w:trHeight w:val="234" w:hRule="exact"/>
        </w:trPr>
        <w:tc>
          <w:tcPr>
            <w:shd w:val="clear" w:color="auto" w:fill="FFFFFF"/>
            <w:tcBorders>
              <w:left w:val="single" w:sz="4"/>
            </w:tcBorders>
            <w:vAlign w:val="bottom"/>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88</w:t>
            </w:r>
          </w:p>
        </w:tc>
        <w:tc>
          <w:tcPr>
            <w:shd w:val="clear" w:color="auto" w:fill="FFFFFF"/>
            <w:tcBorders>
              <w:left w:val="single" w:sz="4"/>
            </w:tcBorders>
            <w:vAlign w:val="bottom"/>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Рупорный громкоговоритель, круглый</w:t>
            </w:r>
          </w:p>
        </w:tc>
        <w:tc>
          <w:tcPr>
            <w:shd w:val="clear" w:color="auto" w:fill="FFFFFF"/>
            <w:tcBorders>
              <w:left w:val="single" w:sz="4"/>
            </w:tcBorders>
            <w:vAlign w:val="bottom"/>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9</w:t>
            </w:r>
          </w:p>
        </w:tc>
        <w:tc>
          <w:tcPr>
            <w:shd w:val="clear" w:color="auto" w:fill="FFFFFF"/>
            <w:tcBorders>
              <w:left w:val="single" w:sz="4"/>
              <w:right w:val="single" w:sz="4"/>
            </w:tcBorders>
            <w:vAlign w:val="bottom"/>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Под воздействием солнечных лучей произошло высыхание и</w:t>
            </w:r>
          </w:p>
        </w:tc>
      </w:tr>
      <w:tr>
        <w:trPr>
          <w:trHeight w:val="184"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lang w:val="en-US" w:eastAsia="en-US" w:bidi="en-US"/>
              </w:rPr>
              <w:t>Inter-M HS-40RT</w:t>
            </w: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частичное разрушение (трещины) пластиковых деталей корпуса.</w:t>
            </w:r>
          </w:p>
        </w:tc>
      </w:tr>
      <w:tr>
        <w:trPr>
          <w:trHeight w:val="202"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Превышен срок полезного использования (четвертая</w:t>
            </w:r>
          </w:p>
        </w:tc>
      </w:tr>
      <w:tr>
        <w:trPr>
          <w:trHeight w:val="205"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амортизационная группа (имущество со сроком полезного</w:t>
            </w:r>
          </w:p>
        </w:tc>
      </w:tr>
      <w:tr>
        <w:trPr>
          <w:trHeight w:val="155" w:hRule="exact"/>
        </w:trPr>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использования свыше 5 лет до 7 лет включительно) по Пост.</w:t>
            </w:r>
          </w:p>
        </w:tc>
      </w:tr>
      <w:tr>
        <w:trPr>
          <w:trHeight w:val="454" w:hRule="exact"/>
        </w:trPr>
        <w:tc>
          <w:tcPr>
            <w:shd w:val="clear" w:color="auto" w:fill="FFFFFF"/>
            <w:tcBorders>
              <w:left w:val="single" w:sz="4"/>
              <w:bottom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372"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12"/>
              <w:framePr w:w="10372" w:wrap="notBeside" w:vAnchor="text" w:hAnchor="text" w:xAlign="center" w:y="1"/>
              <w:widowControl w:val="0"/>
              <w:keepNext w:val="0"/>
              <w:keepLines w:val="0"/>
              <w:shd w:val="clear" w:color="auto" w:fill="auto"/>
              <w:bidi w:val="0"/>
              <w:jc w:val="center"/>
              <w:spacing w:before="0" w:after="0" w:line="140" w:lineRule="exact"/>
              <w:ind w:left="0" w:right="0" w:firstLine="0"/>
            </w:pPr>
            <w:r>
              <w:rPr>
                <w:rStyle w:val="CharStyle20"/>
              </w:rPr>
              <w:t>Правительства РФ от 01.01.2002 г. № 1)</w:t>
            </w:r>
          </w:p>
        </w:tc>
      </w:tr>
    </w:tbl>
    <w:p>
      <w:pPr>
        <w:widowControl w:val="0"/>
        <w:rPr>
          <w:sz w:val="2"/>
          <w:szCs w:val="2"/>
        </w:rPr>
      </w:pPr>
    </w:p>
    <w:p>
      <w:pPr>
        <w:pStyle w:val="Style12"/>
        <w:widowControl w:val="0"/>
        <w:keepNext w:val="0"/>
        <w:keepLines w:val="0"/>
        <w:shd w:val="clear" w:color="auto" w:fill="auto"/>
        <w:bidi w:val="0"/>
        <w:jc w:val="both"/>
        <w:spacing w:before="302" w:after="0"/>
        <w:ind w:left="40" w:right="140" w:firstLine="700"/>
      </w:pPr>
      <w:r>
        <w:rPr>
          <w:lang w:val="ru-RU" w:eastAsia="ru-RU" w:bidi="ru-RU"/>
          <w:w w:val="100"/>
          <w:spacing w:val="0"/>
          <w:color w:val="000000"/>
          <w:position w:val="0"/>
        </w:rPr>
        <w:t>Так, установлено, что в рамках исполнения контракта необходимо провести работы по замене кондиционеров, прожекторов, мониторов, жестких дисков громкоговорителей и прочего. Вместе с тем, проведение указанного вида работ не подлежат лицензированию, в том числе и на основании пункта 15 статьи 12 Федерального закона от 04.05.2011 № 99-ФЗ "О лицензировании отдельных видов деятельности".</w:t>
      </w:r>
    </w:p>
    <w:p>
      <w:pPr>
        <w:pStyle w:val="Style12"/>
        <w:widowControl w:val="0"/>
        <w:keepNext w:val="0"/>
        <w:keepLines w:val="0"/>
        <w:shd w:val="clear" w:color="auto" w:fill="auto"/>
        <w:bidi w:val="0"/>
        <w:jc w:val="both"/>
        <w:spacing w:before="0" w:after="0"/>
        <w:ind w:left="40" w:right="140" w:firstLine="700"/>
      </w:pPr>
      <w:r>
        <w:rPr>
          <w:lang w:val="ru-RU" w:eastAsia="ru-RU" w:bidi="ru-RU"/>
          <w:w w:val="100"/>
          <w:spacing w:val="0"/>
          <w:color w:val="000000"/>
          <w:position w:val="0"/>
        </w:rPr>
        <w:t>Довод заявителя о том, что для установки части оборудования, включенного в техническое задание, необходима вышеуказанная лицензия, не может быть принят Комиссией, ввиду того, что указанные работы не являются основными и составляют незначительную часть из всего комплекса работ.</w:t>
      </w:r>
    </w:p>
    <w:p>
      <w:pPr>
        <w:pStyle w:val="Style12"/>
        <w:widowControl w:val="0"/>
        <w:keepNext w:val="0"/>
        <w:keepLines w:val="0"/>
        <w:shd w:val="clear" w:color="auto" w:fill="auto"/>
        <w:bidi w:val="0"/>
        <w:jc w:val="both"/>
        <w:spacing w:before="0" w:after="0"/>
        <w:ind w:left="40" w:right="140" w:firstLine="700"/>
      </w:pPr>
      <w:r>
        <w:rPr>
          <w:lang w:val="ru-RU" w:eastAsia="ru-RU" w:bidi="ru-RU"/>
          <w:w w:val="100"/>
          <w:spacing w:val="0"/>
          <w:color w:val="000000"/>
          <w:position w:val="0"/>
        </w:rPr>
        <w:t xml:space="preserve">Кроме того, пунктом 2.2 проекта контракта установлено, что Подрядчик при исполнении Контракта </w:t>
      </w:r>
      <w:r>
        <w:rPr>
          <w:rStyle w:val="CharStyle22"/>
        </w:rPr>
        <w:t xml:space="preserve">вправе </w:t>
      </w:r>
      <w:r>
        <w:rPr>
          <w:lang w:val="ru-RU" w:eastAsia="ru-RU" w:bidi="ru-RU"/>
          <w:w w:val="100"/>
          <w:spacing w:val="0"/>
          <w:color w:val="000000"/>
          <w:position w:val="0"/>
        </w:rPr>
        <w:t>привлечь субподрядные организации, обладающие в случаях, предусмотренных действующим законодательством, документами, подтверждающими их право на выполнение данного вида работ. Таким образом, в случае если у победителя закупки будет отсутствовать необходимая лицензия для проведения ряда работ, такой участник, вправе привлечь субподрядчика, для исполнения указанных работ.</w:t>
      </w:r>
    </w:p>
    <w:p>
      <w:pPr>
        <w:pStyle w:val="Style12"/>
        <w:widowControl w:val="0"/>
        <w:keepNext w:val="0"/>
        <w:keepLines w:val="0"/>
        <w:shd w:val="clear" w:color="auto" w:fill="auto"/>
        <w:bidi w:val="0"/>
        <w:jc w:val="both"/>
        <w:spacing w:before="0" w:after="0"/>
        <w:ind w:left="40" w:right="140" w:firstLine="700"/>
      </w:pPr>
      <w:r>
        <w:rPr>
          <w:lang w:val="ru-RU" w:eastAsia="ru-RU" w:bidi="ru-RU"/>
          <w:w w:val="100"/>
          <w:spacing w:val="0"/>
          <w:color w:val="000000"/>
          <w:position w:val="0"/>
        </w:rPr>
        <w:t>Таким образом, изучив доводы жалобы заявителя, пояснения заказчика, Комиссия приходит к выводу об обоснованности доводов заявителя.</w:t>
      </w:r>
    </w:p>
    <w:p>
      <w:pPr>
        <w:pStyle w:val="Style12"/>
        <w:widowControl w:val="0"/>
        <w:keepNext w:val="0"/>
        <w:keepLines w:val="0"/>
        <w:shd w:val="clear" w:color="auto" w:fill="auto"/>
        <w:bidi w:val="0"/>
        <w:jc w:val="both"/>
        <w:spacing w:before="0" w:after="0"/>
        <w:ind w:left="40" w:right="140" w:firstLine="700"/>
      </w:pPr>
      <w:r>
        <w:rPr>
          <w:lang w:val="ru-RU" w:eastAsia="ru-RU" w:bidi="ru-RU"/>
          <w:w w:val="100"/>
          <w:spacing w:val="0"/>
          <w:color w:val="000000"/>
          <w:position w:val="0"/>
        </w:rPr>
        <w:t>Заказчиком нарушены положения пунктом 1 части 1 статьи 31, части 3 статьи 64 Закона о контрактной системе.</w:t>
      </w:r>
    </w:p>
    <w:p>
      <w:pPr>
        <w:pStyle w:val="Style17"/>
        <w:widowControl w:val="0"/>
        <w:keepNext w:val="0"/>
        <w:keepLines w:val="0"/>
        <w:shd w:val="clear" w:color="auto" w:fill="auto"/>
        <w:bidi w:val="0"/>
        <w:spacing w:before="0" w:after="0"/>
        <w:ind w:left="40" w:right="140"/>
      </w:pPr>
      <w:r>
        <w:rPr>
          <w:lang w:val="ru-RU" w:eastAsia="ru-RU" w:bidi="ru-RU"/>
          <w:w w:val="100"/>
          <w:spacing w:val="0"/>
          <w:color w:val="000000"/>
          <w:position w:val="0"/>
        </w:rPr>
        <w:t>Вместе с тем</w:t>
      </w:r>
      <w:r>
        <w:rPr>
          <w:rStyle w:val="CharStyle23"/>
          <w:i w:val="0"/>
          <w:iCs w:val="0"/>
        </w:rPr>
        <w:t xml:space="preserve">, </w:t>
      </w:r>
      <w:r>
        <w:rPr>
          <w:lang w:val="ru-RU" w:eastAsia="ru-RU" w:bidi="ru-RU"/>
          <w:w w:val="100"/>
          <w:spacing w:val="0"/>
          <w:color w:val="000000"/>
          <w:position w:val="0"/>
        </w:rPr>
        <w:t>в ходе проведения внеплановой документарной проверки в соответствии с частью 15 статьи 99 Закона о контрактной системе Комиссией Татарстанского УФА С России установлено следующее.</w:t>
      </w:r>
    </w:p>
    <w:p>
      <w:pPr>
        <w:pStyle w:val="Style24"/>
        <w:numPr>
          <w:ilvl w:val="0"/>
          <w:numId w:val="3"/>
        </w:numPr>
        <w:tabs>
          <w:tab w:leader="none" w:pos="4045" w:val="left"/>
          <w:tab w:leader="none" w:pos="5855" w:val="left"/>
          <w:tab w:leader="none" w:pos="1417" w:val="left"/>
        </w:tabs>
        <w:widowControl w:val="0"/>
        <w:keepNext/>
        <w:keepLines/>
        <w:shd w:val="clear" w:color="auto" w:fill="auto"/>
        <w:bidi w:val="0"/>
        <w:spacing w:before="0" w:after="0"/>
        <w:ind w:left="40" w:right="0"/>
      </w:pPr>
      <w:bookmarkStart w:id="0" w:name="bookmark0"/>
      <w:r>
        <w:rPr>
          <w:lang w:val="ru-RU" w:eastAsia="ru-RU" w:bidi="ru-RU"/>
          <w:w w:val="100"/>
          <w:spacing w:val="0"/>
          <w:color w:val="000000"/>
          <w:position w:val="0"/>
        </w:rPr>
        <w:t>Пунктом 2 части</w:t>
        <w:tab/>
        <w:t>1 статьи 33</w:t>
        <w:tab/>
        <w:t>Закона о контрактной системе</w:t>
      </w:r>
      <w:bookmarkEnd w:id="0"/>
    </w:p>
    <w:p>
      <w:pPr>
        <w:pStyle w:val="Style12"/>
        <w:tabs>
          <w:tab w:leader="none" w:pos="4045" w:val="left"/>
          <w:tab w:leader="none" w:pos="5855" w:val="left"/>
        </w:tabs>
        <w:widowControl w:val="0"/>
        <w:keepNext w:val="0"/>
        <w:keepLines w:val="0"/>
        <w:shd w:val="clear" w:color="auto" w:fill="auto"/>
        <w:bidi w:val="0"/>
        <w:jc w:val="both"/>
        <w:spacing w:before="0" w:after="0"/>
        <w:ind w:left="40" w:right="140" w:firstLine="0"/>
      </w:pPr>
      <w:r>
        <w:rPr>
          <w:lang w:val="ru-RU" w:eastAsia="ru-RU" w:bidi="ru-RU"/>
          <w:w w:val="100"/>
          <w:spacing w:val="0"/>
          <w:color w:val="000000"/>
          <w:position w:val="0"/>
        </w:rPr>
        <w:t>установлено, что заказчик при описании в документации о закупке объекта закупки должен использовать показатели, требования, условные обозначения и терминологию, касающиеся</w:t>
        <w:tab/>
        <w:t>технических</w:t>
        <w:tab/>
        <w:t>характеристик, функциональных</w:t>
      </w:r>
    </w:p>
    <w:p>
      <w:pPr>
        <w:pStyle w:val="Style12"/>
        <w:tabs>
          <w:tab w:leader="none" w:pos="4045" w:val="left"/>
          <w:tab w:leader="none" w:pos="5855" w:val="left"/>
        </w:tabs>
        <w:widowControl w:val="0"/>
        <w:keepNext w:val="0"/>
        <w:keepLines w:val="0"/>
        <w:shd w:val="clear" w:color="auto" w:fill="auto"/>
        <w:bidi w:val="0"/>
        <w:jc w:val="both"/>
        <w:spacing w:before="0" w:after="0"/>
        <w:ind w:left="40" w:right="140" w:firstLine="0"/>
      </w:pPr>
      <w:r>
        <w:rPr>
          <w:lang w:val="ru-RU" w:eastAsia="ru-RU" w:bidi="ru-RU"/>
          <w:w w:val="100"/>
          <w:spacing w:val="0"/>
          <w:color w:val="000000"/>
          <w:position w:val="0"/>
        </w:rPr>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w:t>
        <w:tab/>
        <w:t>соответствии</w:t>
        <w:tab/>
        <w:t>с законодательством Российской</w:t>
      </w:r>
    </w:p>
    <w:p>
      <w:pPr>
        <w:pStyle w:val="Style12"/>
        <w:tabs>
          <w:tab w:leader="none" w:pos="4045" w:val="left"/>
          <w:tab w:leader="none" w:pos="5855" w:val="left"/>
        </w:tabs>
        <w:widowControl w:val="0"/>
        <w:keepNext w:val="0"/>
        <w:keepLines w:val="0"/>
        <w:shd w:val="clear" w:color="auto" w:fill="auto"/>
        <w:bidi w:val="0"/>
        <w:jc w:val="both"/>
        <w:spacing w:before="0" w:after="0"/>
        <w:ind w:left="40" w:right="140" w:firstLine="0"/>
      </w:pPr>
      <w:r>
        <w:rPr>
          <w:lang w:val="ru-RU" w:eastAsia="ru-RU" w:bidi="ru-RU"/>
          <w:w w:val="100"/>
          <w:spacing w:val="0"/>
          <w:color w:val="000000"/>
          <w:position w:val="0"/>
        </w:rPr>
        <w:t>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w:t>
        <w:tab/>
        <w:t>потребностям</w:t>
        <w:tab/>
        <w:t>заказчика. Если заказчиком при</w:t>
      </w:r>
    </w:p>
    <w:p>
      <w:pPr>
        <w:pStyle w:val="Style12"/>
        <w:widowControl w:val="0"/>
        <w:keepNext w:val="0"/>
        <w:keepLines w:val="0"/>
        <w:shd w:val="clear" w:color="auto" w:fill="auto"/>
        <w:bidi w:val="0"/>
        <w:jc w:val="both"/>
        <w:spacing w:before="0" w:after="0"/>
        <w:ind w:left="40" w:right="140" w:firstLine="0"/>
      </w:pPr>
      <w:r>
        <w:rPr>
          <w:lang w:val="ru-RU" w:eastAsia="ru-RU" w:bidi="ru-RU"/>
          <w:w w:val="100"/>
          <w:spacing w:val="0"/>
          <w:color w:val="000000"/>
          <w:position w:val="0"/>
        </w:rPr>
        <w:t>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w:t>
      </w:r>
    </w:p>
    <w:p>
      <w:pPr>
        <w:pStyle w:val="Style12"/>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 xml:space="preserve">показатели, требования, условные обозначения и терминология, в документации о </w:t>
      </w:r>
      <w:r>
        <w:rPr>
          <w:rStyle w:val="CharStyle26"/>
        </w:rPr>
        <w:t xml:space="preserve">закупке должно содержаться обоснование необходимости использования других </w:t>
      </w:r>
      <w:r>
        <w:rPr>
          <w:lang w:val="ru-RU" w:eastAsia="ru-RU" w:bidi="ru-RU"/>
          <w:w w:val="100"/>
          <w:spacing w:val="0"/>
          <w:color w:val="000000"/>
          <w:position w:val="0"/>
        </w:rPr>
        <w:t>показателей, требований, условных обозначений и терминологии.</w:t>
      </w:r>
    </w:p>
    <w:p>
      <w:pPr>
        <w:pStyle w:val="Style12"/>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Так, в техническом задании аукционной документации Заказчика установлено, что выполнение работ по указанной закупке должны выполняться, в том числе, в соответствии с требованиями:</w:t>
      </w:r>
    </w:p>
    <w:p>
      <w:pPr>
        <w:pStyle w:val="Style12"/>
        <w:numPr>
          <w:ilvl w:val="0"/>
          <w:numId w:val="5"/>
        </w:numPr>
        <w:tabs>
          <w:tab w:leader="none" w:pos="3184" w:val="left"/>
          <w:tab w:leader="none" w:pos="7274" w:val="right"/>
          <w:tab w:leader="none" w:pos="7479" w:val="left"/>
          <w:tab w:leader="none" w:pos="10210" w:val="right"/>
        </w:tabs>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"ГОСТ Р 12.1.019-2009. Национальный стандарт Российской Федерации. Система стандартов безопасности труда. Электробезопасность. Общие требования и номенклатура видов</w:t>
        <w:tab/>
        <w:t>защиты" (утв. и</w:t>
        <w:tab/>
        <w:t>введен в</w:t>
        <w:tab/>
        <w:t>действие</w:t>
        <w:tab/>
        <w:t>Приказом</w:t>
      </w:r>
    </w:p>
    <w:p>
      <w:pPr>
        <w:pStyle w:val="Style12"/>
        <w:widowControl w:val="0"/>
        <w:keepNext w:val="0"/>
        <w:keepLines w:val="0"/>
        <w:shd w:val="clear" w:color="auto" w:fill="auto"/>
        <w:bidi w:val="0"/>
        <w:jc w:val="both"/>
        <w:spacing w:before="0" w:after="0" w:line="324" w:lineRule="exact"/>
        <w:ind w:left="20" w:right="0" w:firstLine="0"/>
      </w:pPr>
      <w:r>
        <w:rPr>
          <w:lang w:val="ru-RU" w:eastAsia="ru-RU" w:bidi="ru-RU"/>
          <w:w w:val="100"/>
          <w:spacing w:val="0"/>
          <w:color w:val="000000"/>
          <w:position w:val="0"/>
        </w:rPr>
        <w:t xml:space="preserve">Ростехрегулирования от 10.12.2009 </w:t>
      </w:r>
      <w:r>
        <w:rPr>
          <w:lang w:val="en-US" w:eastAsia="en-US" w:bidi="en-US"/>
          <w:w w:val="100"/>
          <w:spacing w:val="0"/>
          <w:color w:val="000000"/>
          <w:position w:val="0"/>
        </w:rPr>
        <w:t xml:space="preserve">N </w:t>
      </w:r>
      <w:r>
        <w:rPr>
          <w:lang w:val="ru-RU" w:eastAsia="ru-RU" w:bidi="ru-RU"/>
          <w:w w:val="100"/>
          <w:spacing w:val="0"/>
          <w:color w:val="000000"/>
          <w:position w:val="0"/>
        </w:rPr>
        <w:t>681-ст)</w:t>
      </w:r>
    </w:p>
    <w:p>
      <w:pPr>
        <w:pStyle w:val="Style12"/>
        <w:tabs>
          <w:tab w:leader="none" w:pos="3184" w:val="left"/>
          <w:tab w:leader="none" w:pos="7479" w:val="left"/>
          <w:tab w:leader="none" w:pos="7476" w:val="left"/>
          <w:tab w:leader="none" w:pos="10210" w:val="right"/>
        </w:tabs>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Вместе с тем, указанный ГОСТ утратил силу с 01.01.2019 в связи с введением "ГОСТ 12.1.019-2017.</w:t>
        <w:tab/>
        <w:t>Межгосударственный</w:t>
        <w:tab/>
        <w:t>стандарт.</w:t>
        <w:tab/>
        <w:t>Система</w:t>
        <w:tab/>
        <w:t>стандартов</w:t>
      </w:r>
    </w:p>
    <w:p>
      <w:pPr>
        <w:pStyle w:val="Style12"/>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 xml:space="preserve">безопасности труда. Электробезопасность. Общие требования и номенклатура видов защиты" (введен в действие Приказом Росстандарта от 07.11.2018 </w:t>
      </w:r>
      <w:r>
        <w:rPr>
          <w:lang w:val="en-US" w:eastAsia="en-US" w:bidi="en-US"/>
          <w:w w:val="100"/>
          <w:spacing w:val="0"/>
          <w:color w:val="000000"/>
          <w:position w:val="0"/>
        </w:rPr>
        <w:t xml:space="preserve">N </w:t>
      </w:r>
      <w:r>
        <w:rPr>
          <w:lang w:val="ru-RU" w:eastAsia="ru-RU" w:bidi="ru-RU"/>
          <w:w w:val="100"/>
          <w:spacing w:val="0"/>
          <w:color w:val="000000"/>
          <w:position w:val="0"/>
        </w:rPr>
        <w:t>941-ст).</w:t>
      </w:r>
    </w:p>
    <w:p>
      <w:pPr>
        <w:pStyle w:val="Style12"/>
        <w:numPr>
          <w:ilvl w:val="0"/>
          <w:numId w:val="5"/>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"ГОСТ 21.501-2011. Межгосударственный стандарт. Система проектной документации для строительства. Правила выполнения рабочей документации архитектурных и конструктивных решений" (введен в действие Приказом Росстандарта от 11.10.2012 </w:t>
      </w:r>
      <w:r>
        <w:rPr>
          <w:lang w:val="en-US" w:eastAsia="en-US" w:bidi="en-US"/>
          <w:w w:val="100"/>
          <w:spacing w:val="0"/>
          <w:color w:val="000000"/>
          <w:position w:val="0"/>
        </w:rPr>
        <w:t xml:space="preserve">N </w:t>
      </w:r>
      <w:r>
        <w:rPr>
          <w:lang w:val="ru-RU" w:eastAsia="ru-RU" w:bidi="ru-RU"/>
          <w:w w:val="100"/>
          <w:spacing w:val="0"/>
          <w:color w:val="000000"/>
          <w:position w:val="0"/>
        </w:rPr>
        <w:t>485-ст).</w:t>
      </w:r>
    </w:p>
    <w:p>
      <w:pPr>
        <w:pStyle w:val="Style12"/>
        <w:tabs>
          <w:tab w:leader="none" w:pos="3184" w:val="left"/>
          <w:tab w:leader="none" w:pos="7479" w:val="left"/>
          <w:tab w:leader="none" w:pos="7472" w:val="left"/>
          <w:tab w:leader="none" w:pos="10210" w:val="right"/>
        </w:tabs>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Вместе с тем, указанный ГОСТ утратил силу с 01.06.2019 в связи с введением "ГОСТ 21.501-2018.</w:t>
        <w:tab/>
        <w:t>Межгосударственный</w:t>
        <w:tab/>
        <w:t>стандарт.</w:t>
        <w:tab/>
        <w:t>Система</w:t>
        <w:tab/>
        <w:t>проектной</w:t>
      </w:r>
    </w:p>
    <w:p>
      <w:pPr>
        <w:pStyle w:val="Style12"/>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 xml:space="preserve">документации для строительства. Правила выполнения рабочей документации архитектурных и конструктивных решений" (введен в действие Приказом Росстандарта от 18.12.2018 </w:t>
      </w:r>
      <w:r>
        <w:rPr>
          <w:lang w:val="en-US" w:eastAsia="en-US" w:bidi="en-US"/>
          <w:w w:val="100"/>
          <w:spacing w:val="0"/>
          <w:color w:val="000000"/>
          <w:position w:val="0"/>
        </w:rPr>
        <w:t xml:space="preserve">N </w:t>
      </w:r>
      <w:r>
        <w:rPr>
          <w:lang w:val="ru-RU" w:eastAsia="ru-RU" w:bidi="ru-RU"/>
          <w:w w:val="100"/>
          <w:spacing w:val="0"/>
          <w:color w:val="000000"/>
          <w:position w:val="0"/>
        </w:rPr>
        <w:t>1121-ст).</w:t>
      </w:r>
    </w:p>
    <w:p>
      <w:pPr>
        <w:pStyle w:val="Style12"/>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Извещение о проведении закупки было размещено на официальном сайте Российской Федерации для размещения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14.10.2021 года.</w:t>
      </w:r>
    </w:p>
    <w:p>
      <w:pPr>
        <w:pStyle w:val="Style12"/>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Следовательно, у Заказчика имелась возможность проверить актуальность установленных стандартов.</w:t>
      </w:r>
    </w:p>
    <w:p>
      <w:pPr>
        <w:pStyle w:val="Style12"/>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Таким образом, </w:t>
      </w:r>
      <w:r>
        <w:rPr>
          <w:rStyle w:val="CharStyle14"/>
        </w:rPr>
        <w:t>Заказчиком нарушены требования, регламентированные</w:t>
      </w:r>
      <w:r>
        <w:rPr>
          <w:lang w:val="ru-RU" w:eastAsia="ru-RU" w:bidi="ru-RU"/>
          <w:w w:val="100"/>
          <w:spacing w:val="0"/>
          <w:color w:val="000000"/>
          <w:position w:val="0"/>
        </w:rPr>
        <w:t xml:space="preserve"> </w:t>
      </w:r>
      <w:r>
        <w:rPr>
          <w:rStyle w:val="CharStyle14"/>
        </w:rPr>
        <w:t>пунктом 2 части 1 статьи 33 Закона о контрактной системе в части формирования</w:t>
      </w:r>
    </w:p>
    <w:p>
      <w:pPr>
        <w:pStyle w:val="Style12"/>
        <w:widowControl w:val="0"/>
        <w:keepNext w:val="0"/>
        <w:keepLines w:val="0"/>
        <w:shd w:val="clear" w:color="auto" w:fill="auto"/>
        <w:bidi w:val="0"/>
        <w:jc w:val="both"/>
        <w:spacing w:before="0" w:after="0"/>
        <w:ind w:left="20" w:right="0" w:firstLine="0"/>
      </w:pPr>
      <w:r>
        <w:rPr>
          <w:rStyle w:val="CharStyle14"/>
        </w:rPr>
        <w:t>описания объекта закупки в документации.</w:t>
      </w:r>
    </w:p>
    <w:p>
      <w:pPr>
        <w:pStyle w:val="Style12"/>
        <w:numPr>
          <w:ilvl w:val="0"/>
          <w:numId w:val="7"/>
        </w:numPr>
        <w:tabs>
          <w:tab w:leader="none" w:pos="1065" w:val="left"/>
        </w:tabs>
        <w:widowControl w:val="0"/>
        <w:keepNext w:val="0"/>
        <w:keepLines w:val="0"/>
        <w:shd w:val="clear" w:color="auto" w:fill="auto"/>
        <w:bidi w:val="0"/>
        <w:jc w:val="both"/>
        <w:spacing w:before="0" w:after="0"/>
        <w:ind w:left="20" w:right="20" w:firstLine="700"/>
      </w:pPr>
      <w:r>
        <w:rPr>
          <w:rStyle w:val="CharStyle22"/>
        </w:rPr>
        <w:t xml:space="preserve">В соответствии с ч.З ст. 7 Закона о контактной системе, </w:t>
      </w:r>
      <w:r>
        <w:rPr>
          <w:lang w:val="ru-RU" w:eastAsia="ru-RU" w:bidi="ru-RU"/>
          <w:w w:val="100"/>
          <w:spacing w:val="0"/>
          <w:color w:val="000000"/>
          <w:position w:val="0"/>
        </w:rPr>
        <w:t xml:space="preserve">информация, предусмотренная настоящим Федеральным законом и размещенная в единой информационной системе, </w:t>
      </w:r>
      <w:r>
        <w:rPr>
          <w:rStyle w:val="CharStyle14"/>
        </w:rPr>
        <w:t>должна быть полной и достоверной.</w:t>
      </w:r>
    </w:p>
    <w:p>
      <w:pPr>
        <w:pStyle w:val="Style12"/>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1.1 ст. 31 Закона о контактной,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настоящего Федерального закона.</w:t>
      </w:r>
    </w:p>
    <w:p>
      <w:pPr>
        <w:pStyle w:val="Style12"/>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соответствии с частью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w:t>
      </w:r>
      <w:r>
        <w:rPr>
          <w:rStyle w:val="CharStyle27"/>
        </w:rPr>
        <w:t>1</w:t>
      </w:r>
      <w:r>
        <w:rPr>
          <w:rStyle w:val="CharStyle28"/>
        </w:rPr>
        <w:t xml:space="preserve">, </w:t>
      </w:r>
      <w:r>
        <w:rPr>
          <w:lang w:val="ru-RU" w:eastAsia="ru-RU" w:bidi="ru-RU"/>
          <w:w w:val="100"/>
          <w:spacing w:val="0"/>
          <w:color w:val="000000"/>
          <w:position w:val="0"/>
        </w:rPr>
        <w:t xml:space="preserve">частями </w:t>
      </w:r>
      <w:r>
        <w:rPr>
          <w:rStyle w:val="CharStyle27"/>
        </w:rPr>
        <w:t>1</w:t>
      </w:r>
      <w:r>
        <w:rPr>
          <w:rStyle w:val="CharStyle28"/>
        </w:rPr>
        <w:t>.</w:t>
      </w:r>
      <w:r>
        <w:rPr>
          <w:rStyle w:val="CharStyle27"/>
        </w:rPr>
        <w:t>1</w:t>
      </w:r>
      <w:r>
        <w:rPr>
          <w:rStyle w:val="CharStyle28"/>
        </w:rPr>
        <w:t xml:space="preserve">, </w:t>
      </w:r>
      <w:r>
        <w:rPr>
          <w:rStyle w:val="CharStyle27"/>
        </w:rPr>
        <w:t>2</w:t>
      </w:r>
      <w:r>
        <w:rPr>
          <w:rStyle w:val="CharStyle28"/>
        </w:rPr>
        <w:t xml:space="preserve"> </w:t>
      </w:r>
      <w:r>
        <w:rPr>
          <w:lang w:val="ru-RU" w:eastAsia="ru-RU" w:bidi="ru-RU"/>
          <w:w w:val="100"/>
          <w:spacing w:val="0"/>
          <w:color w:val="000000"/>
          <w:position w:val="0"/>
        </w:rPr>
        <w:t xml:space="preserve">и </w:t>
      </w:r>
      <w:r>
        <w:rPr>
          <w:rStyle w:val="CharStyle27"/>
        </w:rPr>
        <w:t>2.1</w:t>
      </w:r>
      <w:r>
        <w:rPr>
          <w:rStyle w:val="CharStyle28"/>
        </w:rPr>
        <w:t xml:space="preserve"> </w:t>
      </w:r>
      <w:r>
        <w:rPr>
          <w:lang w:val="ru-RU" w:eastAsia="ru-RU" w:bidi="ru-RU"/>
          <w:w w:val="100"/>
          <w:spacing w:val="0"/>
          <w:color w:val="000000"/>
          <w:position w:val="0"/>
        </w:rPr>
        <w:t>(при наличии таких требований) статьи 31 настоящего Федерального закона.</w:t>
      </w:r>
    </w:p>
    <w:p>
      <w:pPr>
        <w:pStyle w:val="Style12"/>
        <w:widowControl w:val="0"/>
        <w:keepNext w:val="0"/>
        <w:keepLines w:val="0"/>
        <w:shd w:val="clear" w:color="auto" w:fill="auto"/>
        <w:bidi w:val="0"/>
        <w:jc w:val="both"/>
        <w:spacing w:before="0" w:after="0" w:line="328" w:lineRule="exact"/>
        <w:ind w:left="20" w:right="40" w:firstLine="860"/>
      </w:pPr>
      <w:r>
        <w:rPr>
          <w:lang w:val="ru-RU" w:eastAsia="ru-RU" w:bidi="ru-RU"/>
          <w:w w:val="100"/>
          <w:spacing w:val="0"/>
          <w:color w:val="000000"/>
          <w:position w:val="0"/>
        </w:rPr>
        <w:t>Согласно ч. 3 ст. 104 Закона о контактной, в реестр недобросовестных поставщиков включается следующая информация об участниках закупок, поставщиках (подрядчиках, исполнителях), указанных в части 2 настоящей статьи:</w:t>
      </w:r>
    </w:p>
    <w:p>
      <w:pPr>
        <w:pStyle w:val="Style12"/>
        <w:numPr>
          <w:ilvl w:val="0"/>
          <w:numId w:val="9"/>
        </w:numPr>
        <w:widowControl w:val="0"/>
        <w:keepNext w:val="0"/>
        <w:keepLines w:val="0"/>
        <w:shd w:val="clear" w:color="auto" w:fill="auto"/>
        <w:bidi w:val="0"/>
        <w:jc w:val="both"/>
        <w:spacing w:before="0" w:after="0" w:line="328" w:lineRule="exact"/>
        <w:ind w:left="20" w:right="40" w:firstLine="86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w:t>
      </w:r>
    </w:p>
    <w:p>
      <w:pPr>
        <w:pStyle w:val="Style12"/>
        <w:numPr>
          <w:ilvl w:val="0"/>
          <w:numId w:val="9"/>
        </w:numPr>
        <w:widowControl w:val="0"/>
        <w:keepNext w:val="0"/>
        <w:keepLines w:val="0"/>
        <w:shd w:val="clear" w:color="auto" w:fill="auto"/>
        <w:bidi w:val="0"/>
        <w:jc w:val="both"/>
        <w:spacing w:before="0" w:after="0" w:line="328" w:lineRule="exact"/>
        <w:ind w:left="20" w:right="40" w:firstLine="860"/>
      </w:pPr>
      <w:r>
        <w:rPr>
          <w:rStyle w:val="CharStyle29"/>
        </w:rPr>
        <w:t xml:space="preserve"> фамилии, имена, отчества (при наличии), идентификационные номера</w:t>
      </w:r>
      <w:r>
        <w:rPr>
          <w:rStyle w:val="CharStyle26"/>
        </w:rPr>
        <w:t xml:space="preserve"> </w:t>
      </w:r>
      <w:r>
        <w:rPr>
          <w:rStyle w:val="CharStyle14"/>
        </w:rPr>
        <w:t>налогоплательщика (аналог идентификационного номера налогоплательщика в</w:t>
      </w:r>
    </w:p>
    <w:p>
      <w:pPr>
        <w:pStyle w:val="Style12"/>
        <w:widowControl w:val="0"/>
        <w:keepNext w:val="0"/>
        <w:keepLines w:val="0"/>
        <w:shd w:val="clear" w:color="auto" w:fill="auto"/>
        <w:bidi w:val="0"/>
        <w:jc w:val="both"/>
        <w:spacing w:before="0" w:after="0" w:line="317" w:lineRule="exact"/>
        <w:ind w:left="20" w:right="40" w:firstLine="0"/>
      </w:pPr>
      <w:r>
        <w:rPr>
          <w:rStyle w:val="CharStyle14"/>
        </w:rPr>
        <w:t>соответствии с законодательством соответствующего иностранного государства для</w:t>
      </w:r>
      <w:r>
        <w:rPr>
          <w:lang w:val="ru-RU" w:eastAsia="ru-RU" w:bidi="ru-RU"/>
          <w:w w:val="100"/>
          <w:spacing w:val="0"/>
          <w:color w:val="000000"/>
          <w:position w:val="0"/>
        </w:rPr>
        <w:t xml:space="preserve"> </w:t>
      </w:r>
      <w:r>
        <w:rPr>
          <w:rStyle w:val="CharStyle14"/>
        </w:rPr>
        <w:t>иностранного лица) членов коллегиального исполнительного органа, лица,</w:t>
      </w:r>
      <w:r>
        <w:rPr>
          <w:lang w:val="ru-RU" w:eastAsia="ru-RU" w:bidi="ru-RU"/>
          <w:w w:val="100"/>
          <w:spacing w:val="0"/>
          <w:color w:val="000000"/>
          <w:position w:val="0"/>
        </w:rPr>
        <w:t xml:space="preserve"> </w:t>
      </w:r>
      <w:r>
        <w:rPr>
          <w:rStyle w:val="CharStyle14"/>
        </w:rPr>
        <w:t>исполняющего функции единоличного исполнительного органа. Если полномочия</w:t>
      </w:r>
    </w:p>
    <w:p>
      <w:pPr>
        <w:pStyle w:val="Style12"/>
        <w:tabs>
          <w:tab w:leader="none" w:pos="10215" w:val="right"/>
        </w:tabs>
        <w:widowControl w:val="0"/>
        <w:keepNext w:val="0"/>
        <w:keepLines w:val="0"/>
        <w:shd w:val="clear" w:color="auto" w:fill="auto"/>
        <w:bidi w:val="0"/>
        <w:jc w:val="both"/>
        <w:spacing w:before="0" w:after="0"/>
        <w:ind w:left="20" w:right="0" w:firstLine="0"/>
      </w:pPr>
      <w:r>
        <w:rPr>
          <w:rStyle w:val="CharStyle14"/>
        </w:rPr>
        <w:t>единоличного исполнительного органа переданы</w:t>
        <w:tab/>
        <w:t>в соответствии с</w:t>
      </w:r>
    </w:p>
    <w:p>
      <w:pPr>
        <w:pStyle w:val="Style12"/>
        <w:widowControl w:val="0"/>
        <w:keepNext w:val="0"/>
        <w:keepLines w:val="0"/>
        <w:shd w:val="clear" w:color="auto" w:fill="auto"/>
        <w:bidi w:val="0"/>
        <w:jc w:val="both"/>
        <w:spacing w:before="0" w:after="0"/>
        <w:ind w:left="20" w:right="40" w:firstLine="0"/>
      </w:pPr>
      <w:r>
        <w:rPr>
          <w:rStyle w:val="CharStyle14"/>
        </w:rPr>
        <w:t>законодательством Российской Федерации другому лицу (управляющему,</w:t>
      </w:r>
      <w:r>
        <w:rPr>
          <w:lang w:val="ru-RU" w:eastAsia="ru-RU" w:bidi="ru-RU"/>
          <w:w w:val="100"/>
          <w:spacing w:val="0"/>
          <w:color w:val="000000"/>
          <w:position w:val="0"/>
        </w:rPr>
        <w:t xml:space="preserve"> </w:t>
      </w:r>
      <w:r>
        <w:rPr>
          <w:rStyle w:val="CharStyle14"/>
        </w:rPr>
        <w:t>управляющей организации), в реестр недобросовестных поставщиков также</w:t>
      </w:r>
      <w:r>
        <w:rPr>
          <w:lang w:val="ru-RU" w:eastAsia="ru-RU" w:bidi="ru-RU"/>
          <w:w w:val="100"/>
          <w:spacing w:val="0"/>
          <w:color w:val="000000"/>
          <w:position w:val="0"/>
        </w:rPr>
        <w:t xml:space="preserve"> </w:t>
      </w:r>
      <w:r>
        <w:rPr>
          <w:rStyle w:val="CharStyle14"/>
        </w:rPr>
        <w:t>включаются фамилия, имя, отчество (при наличии) управляющего, наименование</w:t>
      </w:r>
    </w:p>
    <w:p>
      <w:pPr>
        <w:pStyle w:val="Style12"/>
        <w:widowControl w:val="0"/>
        <w:keepNext w:val="0"/>
        <w:keepLines w:val="0"/>
        <w:shd w:val="clear" w:color="auto" w:fill="auto"/>
        <w:bidi w:val="0"/>
        <w:jc w:val="both"/>
        <w:spacing w:before="0" w:after="44" w:line="260" w:lineRule="exact"/>
        <w:ind w:left="20" w:right="0" w:firstLine="0"/>
      </w:pPr>
      <w:r>
        <w:rPr>
          <w:rStyle w:val="CharStyle14"/>
        </w:rPr>
        <w:t>управляющей организации и идентификационный номер налогоплательщика (аналог</w:t>
      </w:r>
    </w:p>
    <w:p>
      <w:pPr>
        <w:pStyle w:val="Style12"/>
        <w:widowControl w:val="0"/>
        <w:keepNext w:val="0"/>
        <w:keepLines w:val="0"/>
        <w:shd w:val="clear" w:color="auto" w:fill="auto"/>
        <w:bidi w:val="0"/>
        <w:jc w:val="both"/>
        <w:spacing w:before="0" w:after="0" w:line="260" w:lineRule="exact"/>
        <w:ind w:left="20" w:right="0" w:firstLine="0"/>
      </w:pPr>
      <w:r>
        <w:rPr>
          <w:rStyle w:val="CharStyle14"/>
        </w:rPr>
        <w:t>идентификационного номера налогоплательщика в соответствии</w:t>
      </w:r>
    </w:p>
    <w:p>
      <w:pPr>
        <w:pStyle w:val="Style12"/>
        <w:widowControl w:val="0"/>
        <w:keepNext w:val="0"/>
        <w:keepLines w:val="0"/>
        <w:shd w:val="clear" w:color="auto" w:fill="auto"/>
        <w:bidi w:val="0"/>
        <w:jc w:val="both"/>
        <w:spacing w:before="0" w:after="0"/>
        <w:ind w:left="20" w:right="40" w:firstLine="0"/>
      </w:pPr>
      <w:r>
        <w:rPr>
          <w:rStyle w:val="CharStyle14"/>
        </w:rPr>
        <w:t>законодательством соответствующего иностранного государства для иностранного</w:t>
      </w:r>
      <w:r>
        <w:rPr>
          <w:lang w:val="ru-RU" w:eastAsia="ru-RU" w:bidi="ru-RU"/>
          <w:w w:val="100"/>
          <w:spacing w:val="0"/>
          <w:color w:val="000000"/>
          <w:position w:val="0"/>
        </w:rPr>
        <w:t xml:space="preserve"> </w:t>
      </w:r>
      <w:r>
        <w:rPr>
          <w:rStyle w:val="CharStyle14"/>
        </w:rPr>
        <w:t>лица);</w:t>
      </w:r>
    </w:p>
    <w:p>
      <w:pPr>
        <w:pStyle w:val="Style12"/>
        <w:numPr>
          <w:ilvl w:val="0"/>
          <w:numId w:val="9"/>
        </w:numPr>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 xml:space="preserve"> наименования,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за исключением наименования и идентификационного номера налогоплательщика публично-правового образования:</w:t>
      </w:r>
    </w:p>
    <w:p>
      <w:pPr>
        <w:pStyle w:val="Style12"/>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 xml:space="preserve">а) </w:t>
      </w:r>
      <w:r>
        <w:rPr>
          <w:rStyle w:val="CharStyle14"/>
        </w:rPr>
        <w:t>участников (членов) корпоративного юридического лица, способных</w:t>
      </w:r>
      <w:r>
        <w:rPr>
          <w:lang w:val="ru-RU" w:eastAsia="ru-RU" w:bidi="ru-RU"/>
          <w:w w:val="100"/>
          <w:spacing w:val="0"/>
          <w:color w:val="000000"/>
          <w:position w:val="0"/>
        </w:rPr>
        <w:t xml:space="preserve"> </w:t>
      </w:r>
      <w:r>
        <w:rPr>
          <w:rStyle w:val="CharStyle14"/>
        </w:rPr>
        <w:t>оказывать влияние на деятельность этого юридического лица - участника закупки,</w:t>
      </w:r>
      <w:r>
        <w:rPr>
          <w:lang w:val="ru-RU" w:eastAsia="ru-RU" w:bidi="ru-RU"/>
          <w:w w:val="100"/>
          <w:spacing w:val="0"/>
          <w:color w:val="000000"/>
          <w:position w:val="0"/>
        </w:rPr>
        <w:t xml:space="preserve"> поставщика (подрядчика, исполнителя), указанных в части 2 настоящей статьи. Под такими участниками (членами) для целей настоящего Федерального закона понимаются лица, которые самостоятельно или совместно со своим аффилированным лицом (лицами) владеют более чем двадцатью пятью процентами акций (долей, паев) корпоративного юридического лица. Лицо признается аффилированным в соответствии с требованиями антимонопольного законодательства Российской Федерации;</w:t>
      </w:r>
    </w:p>
    <w:p>
      <w:pPr>
        <w:pStyle w:val="Style12"/>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б) учредителей унитарного юридического лица;</w:t>
      </w:r>
    </w:p>
    <w:p>
      <w:pPr>
        <w:pStyle w:val="Style12"/>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объект закупки, цена контракта и срок его исполнения;</w:t>
      </w:r>
    </w:p>
    <w:p>
      <w:pPr>
        <w:pStyle w:val="Style12"/>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идентификационный код закупки;</w:t>
      </w:r>
    </w:p>
    <w:p>
      <w:pPr>
        <w:pStyle w:val="Style12"/>
        <w:numPr>
          <w:ilvl w:val="0"/>
          <w:numId w:val="9"/>
        </w:numPr>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 xml:space="preserve">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pPr>
        <w:pStyle w:val="Style12"/>
        <w:numPr>
          <w:ilvl w:val="0"/>
          <w:numId w:val="9"/>
        </w:numPr>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 xml:space="preserve"> дата внесения указанной информации в реестр недобросовестных поставщиков.</w:t>
      </w:r>
    </w:p>
    <w:p>
      <w:pPr>
        <w:pStyle w:val="Style12"/>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Вместе с тем, пунктом 6.2 информационной карты документация Заказчика</w:t>
      </w:r>
    </w:p>
    <w:p>
      <w:pPr>
        <w:pStyle w:val="Style30"/>
        <w:framePr w:w="10469"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содержит следующее требование к участнику закупки об отсутствии в реестре недобросовестных поставщиков (подрядчиков, исполнителей) информации об участнике закупки - юридическом лице,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w:t>
      </w:r>
    </w:p>
    <w:tbl>
      <w:tblPr>
        <w:tblOverlap w:val="never"/>
        <w:tblLayout w:type="fixed"/>
        <w:jc w:val="center"/>
      </w:tblPr>
      <w:tblGrid>
        <w:gridCol w:w="3262"/>
        <w:gridCol w:w="7207"/>
      </w:tblGrid>
      <w:tr>
        <w:trPr>
          <w:trHeight w:val="1991" w:hRule="exact"/>
        </w:trPr>
        <w:tc>
          <w:tcPr>
            <w:shd w:val="clear" w:color="auto" w:fill="FFFFFF"/>
            <w:tcBorders>
              <w:left w:val="single" w:sz="4"/>
              <w:top w:val="single" w:sz="4"/>
            </w:tcBorders>
            <w:vAlign w:val="top"/>
          </w:tcPr>
          <w:p>
            <w:pPr>
              <w:pStyle w:val="Style12"/>
              <w:framePr w:w="10469"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2"/>
              </w:rPr>
              <w:t>Пункт 6.2</w:t>
            </w:r>
          </w:p>
        </w:tc>
        <w:tc>
          <w:tcPr>
            <w:shd w:val="clear" w:color="auto" w:fill="FFFFFF"/>
            <w:tcBorders>
              <w:left w:val="single" w:sz="4"/>
              <w:right w:val="single" w:sz="4"/>
              <w:top w:val="single" w:sz="4"/>
            </w:tcBorders>
            <w:vAlign w:val="bottom"/>
          </w:tcPr>
          <w:p>
            <w:pPr>
              <w:pStyle w:val="Style12"/>
              <w:framePr w:w="10469" w:wrap="notBeside" w:vAnchor="text" w:hAnchor="text" w:xAlign="center" w:y="1"/>
              <w:widowControl w:val="0"/>
              <w:keepNext w:val="0"/>
              <w:keepLines w:val="0"/>
              <w:shd w:val="clear" w:color="auto" w:fill="auto"/>
              <w:bidi w:val="0"/>
              <w:jc w:val="both"/>
              <w:spacing w:before="0" w:after="0" w:line="281" w:lineRule="exact"/>
              <w:ind w:left="0" w:right="0" w:firstLine="0"/>
            </w:pPr>
            <w:r>
              <w:rPr>
                <w:rStyle w:val="CharStyle32"/>
              </w:rPr>
              <w:t>Требование об отсутствии в предусмотренном Законом реестре недобросовестных поставщиков (подрядчиков, исполнителей) информации об участнике электронного аукциона,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электронного аукциона - юридического лица</w:t>
            </w:r>
          </w:p>
        </w:tc>
      </w:tr>
      <w:tr>
        <w:trPr>
          <w:trHeight w:val="580" w:hRule="exact"/>
        </w:trPr>
        <w:tc>
          <w:tcPr>
            <w:shd w:val="clear" w:color="auto" w:fill="FFFFFF"/>
            <w:gridSpan w:val="2"/>
            <w:tcBorders>
              <w:left w:val="single" w:sz="4"/>
              <w:right w:val="single" w:sz="4"/>
              <w:top w:val="single" w:sz="4"/>
              <w:bottom w:val="single" w:sz="4"/>
            </w:tcBorders>
            <w:vAlign w:val="top"/>
          </w:tcPr>
          <w:p>
            <w:pPr>
              <w:pStyle w:val="Style12"/>
              <w:framePr w:w="10469"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3"/>
              </w:rPr>
              <w:t>Отсутствие в реестре недобросовестных поставщиков (подрядчиков, исполнителей).</w:t>
            </w:r>
          </w:p>
        </w:tc>
      </w:tr>
    </w:tbl>
    <w:p>
      <w:pPr>
        <w:widowControl w:val="0"/>
        <w:rPr>
          <w:sz w:val="2"/>
          <w:szCs w:val="2"/>
        </w:rPr>
      </w:pPr>
    </w:p>
    <w:p>
      <w:pPr>
        <w:pStyle w:val="Style12"/>
        <w:widowControl w:val="0"/>
        <w:keepNext w:val="0"/>
        <w:keepLines w:val="0"/>
        <w:shd w:val="clear" w:color="auto" w:fill="auto"/>
        <w:bidi w:val="0"/>
        <w:jc w:val="both"/>
        <w:spacing w:before="238" w:after="0"/>
        <w:ind w:left="160" w:right="120" w:firstLine="840"/>
      </w:pPr>
      <w:r>
        <w:rPr>
          <w:lang w:val="ru-RU" w:eastAsia="ru-RU" w:bidi="ru-RU"/>
          <w:w w:val="100"/>
          <w:spacing w:val="0"/>
          <w:color w:val="000000"/>
          <w:position w:val="0"/>
        </w:rPr>
        <w:t>Так, Комиссией Татарстанского УФАС России установлено, что в соответствии с нормами действующего законодательства, кроме лиц, указанных Заказчиком, в Реестр недобросовестных поставщиков включаются сведения в отношении участников (членов) корпоративного юридического лица, способных оказывать влияние на деятельность этого юридического лица - участника закупки, а также если полномочия единоличного исполнительного органа переданы в соответствии с законодательством Российской Федерации другому лицу (управляющему, управляющей организации), в Реестр также включаются фамилия, имя, отчество (при наличии) управляющего, наименование управляющей организации и идентификационный номер налогоплательщика.</w:t>
      </w:r>
    </w:p>
    <w:p>
      <w:pPr>
        <w:pStyle w:val="Style12"/>
        <w:widowControl w:val="0"/>
        <w:keepNext w:val="0"/>
        <w:keepLines w:val="0"/>
        <w:shd w:val="clear" w:color="auto" w:fill="auto"/>
        <w:bidi w:val="0"/>
        <w:jc w:val="both"/>
        <w:spacing w:before="0" w:after="0"/>
        <w:ind w:left="160" w:right="120" w:firstLine="840"/>
      </w:pPr>
      <w:r>
        <w:rPr>
          <w:lang w:val="ru-RU" w:eastAsia="ru-RU" w:bidi="ru-RU"/>
          <w:w w:val="100"/>
          <w:spacing w:val="0"/>
          <w:color w:val="000000"/>
          <w:position w:val="0"/>
        </w:rPr>
        <w:t>Таким образом, Заказчиком нарушены требования ч. 3 ст. 7, ч. 3 ст. 64, ч. 3 ст. 104 Федерального закона "О контрактной системе в сфере закупок товаров, работ, услуг для обеспечения государственных и муниципальных нужд" от 05.04.2013 № 44-ФЗ.</w:t>
      </w:r>
    </w:p>
    <w:p>
      <w:pPr>
        <w:pStyle w:val="Style12"/>
        <w:widowControl w:val="0"/>
        <w:keepNext w:val="0"/>
        <w:keepLines w:val="0"/>
        <w:shd w:val="clear" w:color="auto" w:fill="auto"/>
        <w:bidi w:val="0"/>
        <w:jc w:val="both"/>
        <w:spacing w:before="0" w:after="0"/>
        <w:ind w:left="160" w:right="120" w:firstLine="700"/>
      </w:pPr>
      <w:r>
        <w:rPr>
          <w:lang w:val="ru-RU" w:eastAsia="ru-RU" w:bidi="ru-RU"/>
          <w:w w:val="100"/>
          <w:spacing w:val="0"/>
          <w:color w:val="000000"/>
          <w:position w:val="0"/>
        </w:rPr>
        <w:t>Также, Комиссией было установлено, что на участие в закупке было подано две заявки, которые были допущены до участия в электронном аукционе. По результатам его проведения, победителем закупки было признано ОБЩЕСТВО С ОГРАНИЧЕННОЙ ОТВЕТСТВЕННОСТЬЮ "АЛУФ" с ценовым предложением о цене контракта 21 959 255,76 рублей. Таким образом, экономия от начальной максимальной цены составила 679152.24 рублей.</w:t>
      </w:r>
    </w:p>
    <w:p>
      <w:pPr>
        <w:pStyle w:val="Style12"/>
        <w:widowControl w:val="0"/>
        <w:keepNext w:val="0"/>
        <w:keepLines w:val="0"/>
        <w:shd w:val="clear" w:color="auto" w:fill="auto"/>
        <w:bidi w:val="0"/>
        <w:jc w:val="both"/>
        <w:spacing w:before="0" w:after="0"/>
        <w:ind w:left="160" w:right="120" w:firstLine="700"/>
      </w:pPr>
      <w:r>
        <w:rPr>
          <w:lang w:val="ru-RU" w:eastAsia="ru-RU" w:bidi="ru-RU"/>
          <w:w w:val="100"/>
          <w:spacing w:val="0"/>
          <w:color w:val="000000"/>
          <w:position w:val="0"/>
        </w:rPr>
        <w:t>В ходе заседания Комиссии представитель заказчика также пояснил, что указанные работы направлены на осуществление на мостах, таким образом, отсутствие работ может привести к негативным последствиям.</w:t>
      </w:r>
    </w:p>
    <w:p>
      <w:pPr>
        <w:pStyle w:val="Style12"/>
        <w:widowControl w:val="0"/>
        <w:keepNext w:val="0"/>
        <w:keepLines w:val="0"/>
        <w:shd w:val="clear" w:color="auto" w:fill="auto"/>
        <w:bidi w:val="0"/>
        <w:jc w:val="both"/>
        <w:spacing w:before="0" w:after="0"/>
        <w:ind w:left="160" w:right="120" w:firstLine="840"/>
      </w:pPr>
      <w:r>
        <w:rPr>
          <w:lang w:val="ru-RU" w:eastAsia="ru-RU" w:bidi="ru-RU"/>
          <w:w w:val="100"/>
          <w:spacing w:val="0"/>
          <w:color w:val="000000"/>
          <w:position w:val="0"/>
        </w:rPr>
        <w:t>Учитывая, что выявленные нарушения не повлияли на результат определения поставщика, так как участие в закупке было подано две заявки, оба участника были допущены до участия в электронном аукционе, по результатам проведения которого было образована экономия бюджетных денежных средств, а также социальную значимость закупаемых работ, связанную с обеспечением безопасности на мостовых переходах Комиссия решила предписание об устранении выявленных нарушений не выдавать.</w:t>
      </w:r>
    </w:p>
    <w:p>
      <w:pPr>
        <w:pStyle w:val="Style12"/>
        <w:widowControl w:val="0"/>
        <w:keepNext w:val="0"/>
        <w:keepLines w:val="0"/>
        <w:shd w:val="clear" w:color="auto" w:fill="auto"/>
        <w:bidi w:val="0"/>
        <w:jc w:val="both"/>
        <w:spacing w:before="0" w:after="357" w:line="331" w:lineRule="exact"/>
        <w:ind w:left="20" w:right="20" w:firstLine="840"/>
      </w:pPr>
      <w:r>
        <w:rPr>
          <w:lang w:val="ru-RU" w:eastAsia="ru-RU" w:bidi="ru-RU"/>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№44-ФЗ «О контрактной системе в сфере закупок товаров, работ, услуг для обеспечения государственных и муниципальных нужд», Комиссия</w:t>
      </w:r>
    </w:p>
    <w:p>
      <w:pPr>
        <w:pStyle w:val="Style12"/>
        <w:widowControl w:val="0"/>
        <w:keepNext w:val="0"/>
        <w:keepLines w:val="0"/>
        <w:shd w:val="clear" w:color="auto" w:fill="auto"/>
        <w:bidi w:val="0"/>
        <w:jc w:val="left"/>
        <w:spacing w:before="0" w:after="321" w:line="260" w:lineRule="exact"/>
        <w:ind w:left="4900" w:right="0" w:firstLine="0"/>
      </w:pPr>
      <w:r>
        <w:rPr>
          <w:lang w:val="ru-RU" w:eastAsia="ru-RU" w:bidi="ru-RU"/>
          <w:w w:val="100"/>
          <w:spacing w:val="0"/>
          <w:color w:val="000000"/>
          <w:position w:val="0"/>
        </w:rPr>
        <w:t>РЕШИЛА:</w:t>
      </w:r>
    </w:p>
    <w:p>
      <w:pPr>
        <w:pStyle w:val="Style12"/>
        <w:numPr>
          <w:ilvl w:val="0"/>
          <w:numId w:val="11"/>
        </w:numPr>
        <w:tabs>
          <w:tab w:leader="none" w:pos="571" w:val="left"/>
          <w:tab w:leader="none" w:pos="5384" w:val="left"/>
        </w:tabs>
        <w:widowControl w:val="0"/>
        <w:keepNext w:val="0"/>
        <w:keepLines w:val="0"/>
        <w:shd w:val="clear" w:color="auto" w:fill="auto"/>
        <w:bidi w:val="0"/>
        <w:jc w:val="both"/>
        <w:spacing w:before="0" w:after="0" w:line="324" w:lineRule="exact"/>
        <w:ind w:left="20" w:right="20" w:firstLine="840"/>
      </w:pPr>
      <w:r>
        <w:rPr>
          <w:lang w:val="ru-RU" w:eastAsia="ru-RU" w:bidi="ru-RU"/>
          <w:w w:val="100"/>
          <w:spacing w:val="0"/>
          <w:color w:val="000000"/>
          <w:position w:val="0"/>
        </w:rPr>
        <w:t xml:space="preserve"> Признать жалобу заявителя ООО «МД-Консалтинг» (вх. № 14282/ж от 22.10.2021г.) на действия заказчика ФЕДЕРАЛЬНОЕ КАЗЕННОЕ УЧРЕЖДЕНИЕ "ФЕДЕРАЛЬНОЕ УПРАВЛЕНИЕ АВТОМОБИЛЬНЫХ ДОРОГ ВОЛГО-ВЯТСКОГО РЕГИОНА ФЕДЕРАЛЬНОГО ДОРОЖНОГО АГЕНТСТВА" при проведении закупки №</w:t>
        <w:tab/>
        <w:t>0311100007221000090 на предмет:</w:t>
        <w:tab/>
        <w:t>Обслуживание систем сигнализации,</w:t>
      </w:r>
    </w:p>
    <w:p>
      <w:pPr>
        <w:pStyle w:val="Style12"/>
        <w:widowControl w:val="0"/>
        <w:keepNext w:val="0"/>
        <w:keepLines w:val="0"/>
        <w:shd w:val="clear" w:color="auto" w:fill="auto"/>
        <w:bidi w:val="0"/>
        <w:jc w:val="both"/>
        <w:spacing w:before="0" w:after="0" w:line="324" w:lineRule="exact"/>
        <w:ind w:left="20" w:right="20" w:firstLine="0"/>
      </w:pPr>
      <w:r>
        <w:rPr>
          <w:lang w:val="ru-RU" w:eastAsia="ru-RU" w:bidi="ru-RU"/>
          <w:w w:val="100"/>
          <w:spacing w:val="0"/>
          <w:color w:val="000000"/>
          <w:position w:val="0"/>
        </w:rPr>
        <w:t>видеонаблюдения, инженерно-технических средств обеспечения транспортной безопасности,) обоснованной.</w:t>
      </w:r>
    </w:p>
    <w:p>
      <w:pPr>
        <w:pStyle w:val="Style12"/>
        <w:numPr>
          <w:ilvl w:val="0"/>
          <w:numId w:val="11"/>
        </w:numPr>
        <w:widowControl w:val="0"/>
        <w:keepNext w:val="0"/>
        <w:keepLines w:val="0"/>
        <w:shd w:val="clear" w:color="auto" w:fill="auto"/>
        <w:bidi w:val="0"/>
        <w:jc w:val="both"/>
        <w:spacing w:before="0" w:after="0" w:line="324" w:lineRule="exact"/>
        <w:ind w:left="20" w:right="20" w:firstLine="840"/>
      </w:pPr>
      <w:r>
        <w:rPr>
          <w:lang w:val="ru-RU" w:eastAsia="ru-RU" w:bidi="ru-RU"/>
          <w:w w:val="100"/>
          <w:spacing w:val="0"/>
          <w:color w:val="000000"/>
          <w:position w:val="0"/>
        </w:rPr>
        <w:t xml:space="preserve"> Признать в действиях заказчика ФЕДЕРАЛЬНОЕ КАЗЕННОЕ УЧРЕЖДЕНИЕ "ФЕДЕРАЛЬНОЕ УПРАВЛЕНИЕ АВТОМОБИЛЬНЫХ ДОРОГ ВОЛГО-ВЯТСКОГО РЕГИОНА ФЕДЕРАЛЬНОГО ДОРОЖНОГО АГЕНТСТВА" части 3 статьи 7, пункта 1 части 1 статьи 31, пункта 2 части 1 статьи 33, части 3 статьи 64, части 3 статьи 104 Федерального закона от 05.04.2013г. №44-ФЗ «О контрактной системе в сфере закупок товаров, работ, услуг для обеспечения государственных и муниципальных нужд».</w:t>
      </w:r>
    </w:p>
    <w:p>
      <w:pPr>
        <w:pStyle w:val="Style12"/>
        <w:numPr>
          <w:ilvl w:val="0"/>
          <w:numId w:val="11"/>
        </w:numPr>
        <w:widowControl w:val="0"/>
        <w:keepNext w:val="0"/>
        <w:keepLines w:val="0"/>
        <w:shd w:val="clear" w:color="auto" w:fill="auto"/>
        <w:bidi w:val="0"/>
        <w:jc w:val="both"/>
        <w:spacing w:before="0" w:after="0" w:line="324" w:lineRule="exact"/>
        <w:ind w:left="20" w:right="0" w:firstLine="840"/>
      </w:pPr>
      <w:r>
        <w:rPr>
          <w:lang w:val="ru-RU" w:eastAsia="ru-RU" w:bidi="ru-RU"/>
          <w:w w:val="100"/>
          <w:spacing w:val="0"/>
          <w:color w:val="000000"/>
          <w:position w:val="0"/>
        </w:rPr>
        <w:t xml:space="preserve"> Предписание об устранении выявленных нарушений не выдавать.</w:t>
      </w:r>
    </w:p>
    <w:p>
      <w:pPr>
        <w:pStyle w:val="Style12"/>
        <w:numPr>
          <w:ilvl w:val="0"/>
          <w:numId w:val="11"/>
        </w:numPr>
        <w:widowControl w:val="0"/>
        <w:keepNext w:val="0"/>
        <w:keepLines w:val="0"/>
        <w:shd w:val="clear" w:color="auto" w:fill="auto"/>
        <w:bidi w:val="0"/>
        <w:jc w:val="both"/>
        <w:spacing w:before="0" w:after="0" w:line="324" w:lineRule="exact"/>
        <w:ind w:left="20" w:right="20" w:firstLine="840"/>
      </w:pPr>
      <w:r>
        <w:rPr>
          <w:lang w:val="ru-RU" w:eastAsia="ru-RU" w:bidi="ru-RU"/>
          <w:w w:val="100"/>
          <w:spacing w:val="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12"/>
        <w:widowControl w:val="0"/>
        <w:keepNext w:val="0"/>
        <w:keepLines w:val="0"/>
        <w:shd w:val="clear" w:color="auto" w:fill="auto"/>
        <w:bidi w:val="0"/>
        <w:jc w:val="both"/>
        <w:spacing w:before="0" w:after="951" w:line="324" w:lineRule="exact"/>
        <w:ind w:left="20" w:right="20" w:firstLine="840"/>
      </w:pPr>
      <w:r>
        <w:rPr>
          <w:lang w:val="ru-RU" w:eastAsia="ru-RU" w:bidi="ru-RU"/>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both"/>
        <w:spacing w:before="0" w:after="347" w:line="260" w:lineRule="exact"/>
        <w:ind w:left="20" w:right="0" w:firstLine="0"/>
      </w:pPr>
      <w:r>
        <w:rPr>
          <w:lang w:val="ru-RU" w:eastAsia="ru-RU" w:bidi="ru-RU"/>
          <w:w w:val="100"/>
          <w:spacing w:val="0"/>
          <w:color w:val="000000"/>
          <w:position w:val="0"/>
        </w:rPr>
        <w:t>Председатель Комиссии:</w:t>
      </w:r>
    </w:p>
    <w:p>
      <w:pPr>
        <w:pStyle w:val="Style12"/>
        <w:widowControl w:val="0"/>
        <w:keepNext w:val="0"/>
        <w:keepLines w:val="0"/>
        <w:shd w:val="clear" w:color="auto" w:fill="auto"/>
        <w:bidi w:val="0"/>
        <w:jc w:val="both"/>
        <w:spacing w:before="0" w:after="2341" w:line="260" w:lineRule="exact"/>
        <w:ind w:left="20" w:right="0" w:firstLine="0"/>
      </w:pPr>
      <w:r>
        <w:rPr>
          <w:lang w:val="ru-RU" w:eastAsia="ru-RU" w:bidi="ru-RU"/>
          <w:w w:val="100"/>
          <w:spacing w:val="0"/>
          <w:color w:val="000000"/>
          <w:position w:val="0"/>
        </w:rPr>
        <w:t>Члены Комиссии:</w:t>
      </w:r>
    </w:p>
    <w:p>
      <w:pPr>
        <w:pStyle w:val="Style34"/>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Тимофеев М.А., (843) 238-24-86</w:t>
      </w:r>
    </w:p>
    <w:sectPr>
      <w:type w:val="continuous"/>
      <w:pgSz w:w="11906" w:h="16838"/>
      <w:pgMar w:top="1316" w:left="780" w:right="650" w:bottom="8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22"/>
      <w:szCs w:val="22"/>
      <w:rFonts w:ascii="Times New Roman" w:eastAsia="Times New Roman" w:hAnsi="Times New Roman" w:cs="Times New Roman"/>
      <w:spacing w:val="16"/>
    </w:rPr>
  </w:style>
  <w:style w:type="character" w:customStyle="1" w:styleId="CharStyle5">
    <w:name w:val="Основной текст (4)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3"/>
    <w:rPr>
      <w:lang w:val="ru-RU" w:eastAsia="ru-RU" w:bidi="ru-RU"/>
      <w:u w:val="single"/>
      <w:w w:val="100"/>
      <w:spacing w:val="0"/>
      <w:color w:val="000000"/>
      <w:position w:val="0"/>
    </w:rPr>
  </w:style>
  <w:style w:type="character" w:customStyle="1" w:styleId="CharStyle16">
    <w:name w:val="Основной текст (5)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6)_"/>
    <w:basedOn w:val="DefaultParagraphFont"/>
    <w:link w:val="Style17"/>
    <w:rPr>
      <w:b w:val="0"/>
      <w:bCs w:val="0"/>
      <w:i/>
      <w:iCs/>
      <w:u w:val="none"/>
      <w:strike w:val="0"/>
      <w:smallCaps w:val="0"/>
      <w:sz w:val="28"/>
      <w:szCs w:val="28"/>
      <w:rFonts w:ascii="Times New Roman" w:eastAsia="Times New Roman" w:hAnsi="Times New Roman" w:cs="Times New Roman"/>
    </w:rPr>
  </w:style>
  <w:style w:type="character" w:customStyle="1" w:styleId="CharStyle19">
    <w:name w:val="Основной текст + Интервал 5 pt"/>
    <w:basedOn w:val="CharStyle13"/>
    <w:rPr>
      <w:lang w:val="ru-RU" w:eastAsia="ru-RU" w:bidi="ru-RU"/>
      <w:w w:val="100"/>
      <w:spacing w:val="110"/>
      <w:color w:val="000000"/>
      <w:position w:val="0"/>
    </w:rPr>
  </w:style>
  <w:style w:type="character" w:customStyle="1" w:styleId="CharStyle20">
    <w:name w:val="Основной текст + 7 pt"/>
    <w:basedOn w:val="CharStyle13"/>
    <w:rPr>
      <w:lang w:val="ru-RU" w:eastAsia="ru-RU" w:bidi="ru-RU"/>
      <w:sz w:val="14"/>
      <w:szCs w:val="14"/>
      <w:w w:val="100"/>
      <w:spacing w:val="0"/>
      <w:color w:val="000000"/>
      <w:position w:val="0"/>
    </w:rPr>
  </w:style>
  <w:style w:type="character" w:customStyle="1" w:styleId="CharStyle21">
    <w:name w:val="Основной текст + 9,5 pt,Масштаб 75%"/>
    <w:basedOn w:val="CharStyle13"/>
    <w:rPr>
      <w:lang w:val="ru-RU" w:eastAsia="ru-RU" w:bidi="ru-RU"/>
      <w:sz w:val="19"/>
      <w:szCs w:val="19"/>
      <w:w w:val="75"/>
      <w:spacing w:val="0"/>
      <w:color w:val="000000"/>
      <w:position w:val="0"/>
    </w:rPr>
  </w:style>
  <w:style w:type="character" w:customStyle="1" w:styleId="CharStyle22">
    <w:name w:val="Основной текст + Полужирный"/>
    <w:basedOn w:val="CharStyle13"/>
    <w:rPr>
      <w:lang w:val="ru-RU" w:eastAsia="ru-RU" w:bidi="ru-RU"/>
      <w:b/>
      <w:bCs/>
      <w:w w:val="100"/>
      <w:spacing w:val="0"/>
      <w:color w:val="000000"/>
      <w:position w:val="0"/>
    </w:rPr>
  </w:style>
  <w:style w:type="character" w:customStyle="1" w:styleId="CharStyle23">
    <w:name w:val="Основной текст (6) + 19 pt,Полужирный,Не курсив"/>
    <w:basedOn w:val="CharStyle18"/>
    <w:rPr>
      <w:lang w:val="ru-RU" w:eastAsia="ru-RU" w:bidi="ru-RU"/>
      <w:b/>
      <w:bCs/>
      <w:i/>
      <w:iCs/>
      <w:sz w:val="38"/>
      <w:szCs w:val="38"/>
      <w:w w:val="100"/>
      <w:spacing w:val="0"/>
      <w:color w:val="000000"/>
      <w:position w:val="0"/>
    </w:rPr>
  </w:style>
  <w:style w:type="character" w:customStyle="1" w:styleId="CharStyle25">
    <w:name w:val="Заголовок №1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13"/>
    <w:rPr>
      <w:lang w:val="ru-RU" w:eastAsia="ru-RU" w:bidi="ru-RU"/>
      <w:w w:val="100"/>
      <w:spacing w:val="0"/>
      <w:color w:val="000000"/>
      <w:position w:val="0"/>
    </w:rPr>
  </w:style>
  <w:style w:type="character" w:customStyle="1" w:styleId="CharStyle27">
    <w:name w:val="Основной текст + 12 pt,Интервал 0 pt"/>
    <w:basedOn w:val="CharStyle13"/>
    <w:rPr>
      <w:lang w:val="ru-RU" w:eastAsia="ru-RU" w:bidi="ru-RU"/>
      <w:sz w:val="24"/>
      <w:szCs w:val="24"/>
      <w:w w:val="100"/>
      <w:spacing w:val="10"/>
      <w:color w:val="000000"/>
      <w:position w:val="0"/>
    </w:rPr>
  </w:style>
  <w:style w:type="character" w:customStyle="1" w:styleId="CharStyle28">
    <w:name w:val="Основной текст + 20 pt,Полужирный"/>
    <w:basedOn w:val="CharStyle13"/>
    <w:rPr>
      <w:lang w:val="ru-RU" w:eastAsia="ru-RU" w:bidi="ru-RU"/>
      <w:b/>
      <w:bCs/>
      <w:sz w:val="40"/>
      <w:szCs w:val="40"/>
      <w:w w:val="100"/>
      <w:spacing w:val="0"/>
      <w:color w:val="000000"/>
      <w:position w:val="0"/>
    </w:rPr>
  </w:style>
  <w:style w:type="character" w:customStyle="1" w:styleId="CharStyle29">
    <w:name w:val="Основной текст"/>
    <w:basedOn w:val="CharStyle13"/>
    <w:rPr>
      <w:lang w:val="ru-RU" w:eastAsia="ru-RU" w:bidi="ru-RU"/>
      <w:u w:val="single"/>
      <w:w w:val="100"/>
      <w:spacing w:val="0"/>
      <w:color w:val="000000"/>
      <w:position w:val="0"/>
    </w:rPr>
  </w:style>
  <w:style w:type="character" w:customStyle="1" w:styleId="CharStyle31">
    <w:name w:val="Подпись к таблице_"/>
    <w:basedOn w:val="DefaultParagraphFont"/>
    <w:link w:val="Style30"/>
    <w:rPr>
      <w:b w:val="0"/>
      <w:bCs w:val="0"/>
      <w:i w:val="0"/>
      <w:iCs w:val="0"/>
      <w:u w:val="none"/>
      <w:strike w:val="0"/>
      <w:smallCaps w:val="0"/>
      <w:sz w:val="26"/>
      <w:szCs w:val="26"/>
      <w:rFonts w:ascii="Times New Roman" w:eastAsia="Times New Roman" w:hAnsi="Times New Roman" w:cs="Times New Roman"/>
    </w:rPr>
  </w:style>
  <w:style w:type="character" w:customStyle="1" w:styleId="CharStyle32">
    <w:name w:val="Основной текст + 11 pt,Полужирный"/>
    <w:basedOn w:val="CharStyle13"/>
    <w:rPr>
      <w:lang w:val="ru-RU" w:eastAsia="ru-RU" w:bidi="ru-RU"/>
      <w:b/>
      <w:bCs/>
      <w:sz w:val="22"/>
      <w:szCs w:val="22"/>
      <w:w w:val="100"/>
      <w:spacing w:val="0"/>
      <w:color w:val="000000"/>
      <w:position w:val="0"/>
    </w:rPr>
  </w:style>
  <w:style w:type="character" w:customStyle="1" w:styleId="CharStyle33">
    <w:name w:val="Основной текст + 11 pt"/>
    <w:basedOn w:val="CharStyle13"/>
    <w:rPr>
      <w:lang w:val="ru-RU" w:eastAsia="ru-RU" w:bidi="ru-RU"/>
      <w:sz w:val="22"/>
      <w:szCs w:val="22"/>
      <w:w w:val="100"/>
      <w:spacing w:val="0"/>
      <w:color w:val="000000"/>
      <w:position w:val="0"/>
    </w:rPr>
  </w:style>
  <w:style w:type="character" w:customStyle="1" w:styleId="CharStyle35">
    <w:name w:val="Основной текст (7)_"/>
    <w:basedOn w:val="DefaultParagraphFont"/>
    <w:link w:val="Style34"/>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16"/>
    </w:rPr>
  </w:style>
  <w:style w:type="paragraph" w:customStyle="1" w:styleId="Style6">
    <w:name w:val="Основной текст (2)"/>
    <w:basedOn w:val="Normal"/>
    <w:link w:val="CharStyle7"/>
    <w:pPr>
      <w:widowControl w:val="0"/>
      <w:shd w:val="clear" w:color="auto" w:fill="FFFFFF"/>
      <w:jc w:val="center"/>
      <w:spacing w:after="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after="300" w:line="20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spacing w:before="300" w:line="32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320" w:lineRule="exact"/>
      <w:ind w:firstLine="700"/>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both"/>
      <w:spacing w:line="320" w:lineRule="exact"/>
      <w:ind w:firstLine="700"/>
    </w:pPr>
    <w:rPr>
      <w:b w:val="0"/>
      <w:bCs w:val="0"/>
      <w:i/>
      <w:iCs/>
      <w:u w:val="none"/>
      <w:strike w:val="0"/>
      <w:smallCaps w:val="0"/>
      <w:sz w:val="28"/>
      <w:szCs w:val="28"/>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both"/>
      <w:outlineLvl w:val="0"/>
      <w:spacing w:line="320" w:lineRule="exact"/>
      <w:ind w:firstLine="700"/>
    </w:pPr>
    <w:rPr>
      <w:b/>
      <w:bCs/>
      <w:i w:val="0"/>
      <w:iCs w:val="0"/>
      <w:u w:val="none"/>
      <w:strike w:val="0"/>
      <w:smallCaps w:val="0"/>
      <w:sz w:val="26"/>
      <w:szCs w:val="26"/>
      <w:rFonts w:ascii="Times New Roman" w:eastAsia="Times New Roman" w:hAnsi="Times New Roman" w:cs="Times New Roman"/>
    </w:rPr>
  </w:style>
  <w:style w:type="paragraph" w:customStyle="1" w:styleId="Style30">
    <w:name w:val="Подпись к таблице"/>
    <w:basedOn w:val="Normal"/>
    <w:link w:val="CharStyle31"/>
    <w:pPr>
      <w:widowControl w:val="0"/>
      <w:shd w:val="clear" w:color="auto" w:fill="FFFFFF"/>
      <w:jc w:val="both"/>
      <w:spacing w:line="33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before="2400"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