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97" w:line="260" w:lineRule="exact"/>
        <w:ind w:left="5300" w:right="0" w:firstLine="0"/>
      </w:pPr>
      <w:r>
        <w:rPr>
          <w:lang w:val="ru-RU" w:eastAsia="ru-RU" w:bidi="ru-RU"/>
          <w:w w:val="100"/>
          <w:spacing w:val="0"/>
          <w:color w:val="000000"/>
          <w:position w:val="0"/>
        </w:rPr>
        <w:t>ФГБОУ ВО МГППУ</w:t>
      </w:r>
    </w:p>
    <w:p>
      <w:pPr>
        <w:pStyle w:val="Style3"/>
        <w:widowControl w:val="0"/>
        <w:keepNext w:val="0"/>
        <w:keepLines w:val="0"/>
        <w:shd w:val="clear" w:color="auto" w:fill="auto"/>
        <w:bidi w:val="0"/>
        <w:jc w:val="left"/>
        <w:spacing w:before="0" w:after="292" w:line="260" w:lineRule="exact"/>
        <w:ind w:left="5300" w:right="0" w:firstLine="0"/>
      </w:pPr>
      <w:r>
        <w:rPr>
          <w:lang w:val="ru-RU" w:eastAsia="ru-RU" w:bidi="ru-RU"/>
          <w:w w:val="100"/>
          <w:spacing w:val="0"/>
          <w:color w:val="000000"/>
          <w:position w:val="0"/>
        </w:rPr>
        <w:t>ул. Сретенка, д. 29, Москва, 127051</w:t>
      </w:r>
    </w:p>
    <w:p>
      <w:pPr>
        <w:pStyle w:val="Style3"/>
        <w:widowControl w:val="0"/>
        <w:keepNext w:val="0"/>
        <w:keepLines w:val="0"/>
        <w:shd w:val="clear" w:color="auto" w:fill="auto"/>
        <w:bidi w:val="0"/>
        <w:jc w:val="left"/>
        <w:spacing w:before="0" w:after="243" w:line="260" w:lineRule="exact"/>
        <w:ind w:left="5300" w:right="0" w:firstLine="0"/>
      </w:pPr>
      <w:r>
        <w:rPr>
          <w:lang w:val="ru-RU" w:eastAsia="ru-RU" w:bidi="ru-RU"/>
          <w:w w:val="100"/>
          <w:spacing w:val="0"/>
          <w:color w:val="000000"/>
          <w:position w:val="0"/>
        </w:rPr>
        <w:t>ООО «Балтик АйТи»</w:t>
      </w:r>
    </w:p>
    <w:p>
      <w:pPr>
        <w:pStyle w:val="Style3"/>
        <w:widowControl w:val="0"/>
        <w:keepNext w:val="0"/>
        <w:keepLines w:val="0"/>
        <w:shd w:val="clear" w:color="auto" w:fill="auto"/>
        <w:bidi w:val="0"/>
        <w:jc w:val="left"/>
        <w:spacing w:before="0" w:after="1740" w:line="322" w:lineRule="exact"/>
        <w:ind w:left="5300" w:right="320" w:firstLine="0"/>
      </w:pPr>
      <w:r>
        <w:rPr>
          <w:lang w:val="ru-RU" w:eastAsia="ru-RU" w:bidi="ru-RU"/>
          <w:w w:val="100"/>
          <w:spacing w:val="0"/>
          <w:color w:val="000000"/>
          <w:position w:val="0"/>
        </w:rPr>
        <w:t>Московское ш., д. 42, корп. 2, литер А, пом. 1-Н офис 430.1, г. Санкт-Петербург, 196158</w:t>
      </w:r>
    </w:p>
    <w:p>
      <w:pPr>
        <w:pStyle w:val="Style6"/>
        <w:tabs>
          <w:tab w:leader="none" w:pos="9102" w:val="right"/>
          <w:tab w:leader="none" w:pos="10158" w:val="right"/>
        </w:tabs>
        <w:widowControl w:val="0"/>
        <w:keepNext w:val="0"/>
        <w:keepLines w:val="0"/>
        <w:shd w:val="clear" w:color="auto" w:fill="auto"/>
        <w:bidi w:val="0"/>
        <w:jc w:val="left"/>
        <w:spacing w:before="0" w:after="0"/>
        <w:ind w:left="20" w:right="20" w:firstLine="4380"/>
      </w:pPr>
      <w:r>
        <w:rPr>
          <w:lang w:val="ru-RU" w:eastAsia="ru-RU" w:bidi="ru-RU"/>
          <w:w w:val="100"/>
          <w:spacing w:val="0"/>
          <w:color w:val="000000"/>
          <w:position w:val="0"/>
        </w:rPr>
        <w:t>РЕШЕНИЕ по делу № 077/06/106-19149/2021 о нарушении законодательства о контрактной системе 08.11.2021</w:t>
        <w:tab/>
        <w:t>г.</w:t>
        <w:tab/>
        <w:t>Москва</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3"/>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tabs>
          <w:tab w:leader="none" w:pos="7837" w:val="left"/>
        </w:tabs>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при участии представителя ФГБОУ ВО МГППУ:</w:t>
        <w:tab/>
        <w:t>Е.В. Мульдаровой</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(по дов. №02 от 09.01.2020),</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отсутствие представителей ООО «Балтик АйТи», о времени и порядке заседания Комиссии Управления уведомлены надлежащим образом письмом Московского УФАС России от 25.10.2021 № ЕИ/65403/21,</w:t>
      </w:r>
    </w:p>
    <w:p>
      <w:pPr>
        <w:pStyle w:val="Style3"/>
        <w:widowControl w:val="0"/>
        <w:keepNext w:val="0"/>
        <w:keepLines w:val="0"/>
        <w:shd w:val="clear" w:color="auto" w:fill="auto"/>
        <w:bidi w:val="0"/>
        <w:jc w:val="both"/>
        <w:spacing w:before="0" w:after="296" w:line="322" w:lineRule="exact"/>
        <w:ind w:left="20" w:right="20" w:firstLine="660"/>
      </w:pPr>
      <w:r>
        <w:rPr>
          <w:lang w:val="ru-RU" w:eastAsia="ru-RU" w:bidi="ru-RU"/>
          <w:w w:val="100"/>
          <w:spacing w:val="0"/>
          <w:color w:val="000000"/>
          <w:position w:val="0"/>
        </w:rPr>
        <w:t>рассмотрев жалобу ООО «Балтик АйТи» (далее — Заявитель) на действия ФГБОУ ВО МГППУ (далее — Заказчик) при проведении электронного аукциона на право заключения государственного контракта на на поставку оборудования (МФУ) в рамках реализации программы модернизации материально-технической базы ФГБОУ ВО МГППУ (Закупка № 0373200006021000065) (далее — Аукцион),</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000408131077</w:t>
      </w:r>
    </w:p>
    <w:p>
      <w:pPr>
        <w:pStyle w:val="Style3"/>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4"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25.10.2021 №ЕИ/65403/21, Комиссия Управления установила следующее.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протоколу рассмотрения заявок на участие в аукционе от 21.10.2021 №0373200006021000065-1 заявка Заявителя (номер заявки 4) признана не соответствующей требованиям аукционной документации на следующем основании: «п. 2. ч. 4 ст. 67 - несоответствие информации, предусмотренной ч. 3 ст. 66 44-ФЗ, требованиям документации о таком аукционе: - по параметру «Технология печати» Участником представлено значение «Электрографическая (лазерная)», что не соответствует установленным документацией требованиям Заказчика. Требования Заказчика: «Электрографическая (лазерная, светодиодная)». В соответствии с Порядком заполнении Формы: При указании значений показателей товара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3"/>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3"/>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В соответствии с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tabs>
          <w:tab w:leader="none" w:pos="7494" w:val="left"/>
        </w:tabs>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Комиссией Управления установлено, что Заказчиком в технической части аукционной документации установлены требования к закупаемому товару по п.1 «Многофункциональное устройство (МФУ)»:</w:t>
        <w:tab/>
        <w:t>«Технология печати:</w:t>
      </w:r>
    </w:p>
    <w:p>
      <w:pPr>
        <w:pStyle w:val="Style3"/>
        <w:widowControl w:val="0"/>
        <w:keepNext w:val="0"/>
        <w:keepLines w:val="0"/>
        <w:shd w:val="clear" w:color="auto" w:fill="auto"/>
        <w:bidi w:val="0"/>
        <w:jc w:val="left"/>
        <w:spacing w:before="0" w:after="0" w:line="331" w:lineRule="exact"/>
        <w:ind w:left="20" w:right="0" w:firstLine="0"/>
      </w:pPr>
      <w:r>
        <w:rPr>
          <w:lang w:val="ru-RU" w:eastAsia="ru-RU" w:bidi="ru-RU"/>
          <w:w w:val="100"/>
          <w:spacing w:val="0"/>
          <w:color w:val="000000"/>
          <w:position w:val="0"/>
        </w:rPr>
        <w:t>«Электрографическая (лазерная, светодиодная)».</w:t>
      </w:r>
    </w:p>
    <w:p>
      <w:pPr>
        <w:pStyle w:val="Style3"/>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Согласно Инструкции по предоставлению сведений в составе заявки (далее — Инструкция) символ «запятая», союз «и» указывают на необходимость представить все значения показателя или все диапазоны значений, указанных через данные символ, союз.</w:t>
      </w:r>
    </w:p>
    <w:p>
      <w:pPr>
        <w:pStyle w:val="Style3"/>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ч.3.1 ст. 66 Закона о контрактной системе, должна содержать:</w:t>
      </w:r>
    </w:p>
    <w:p>
      <w:pPr>
        <w:pStyle w:val="Style3"/>
        <w:numPr>
          <w:ilvl w:val="0"/>
          <w:numId w:val="1"/>
        </w:numPr>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3"/>
        <w:numPr>
          <w:ilvl w:val="0"/>
          <w:numId w:val="1"/>
        </w:numPr>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3"/>
        <w:widowControl w:val="0"/>
        <w:keepNext w:val="0"/>
        <w:keepLines w:val="0"/>
        <w:shd w:val="clear" w:color="auto" w:fill="auto"/>
        <w:bidi w:val="0"/>
        <w:jc w:val="both"/>
        <w:spacing w:before="0" w:after="0" w:line="331" w:lineRule="exact"/>
        <w:ind w:left="20" w:right="0" w:firstLine="680"/>
      </w:pPr>
      <w:r>
        <w:rPr>
          <w:lang w:val="ru-RU" w:eastAsia="ru-RU" w:bidi="ru-RU"/>
          <w:w w:val="100"/>
          <w:spacing w:val="0"/>
          <w:color w:val="000000"/>
          <w:position w:val="0"/>
        </w:rPr>
        <w:t>а) наименование страны происхождения товара;</w:t>
      </w:r>
    </w:p>
    <w:p>
      <w:pPr>
        <w:pStyle w:val="Style3"/>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пп. «б» п.2 ч.3 ст.66 Закона о контрактной системе,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331" w:lineRule="exact"/>
        <w:ind w:left="20" w:right="20" w:firstLine="68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установлено, что в составе первой части заявки участник закупки выразил согласие на поставку товара на условиях, предусмотренных документацией об аукционе, а также представил следующие сведения о предлагаемом к поставе товаре по п.1 «Многофункциональное устройство (МФУ)»: «Технология печати: Электрографическая (лазерная)» - что напрямую не соответствует требованиям аукционной документации, в частности вышеуказанному положению Инструкции, согласно которому участнику закупки надлежало представить все значения показателя, указанные через символ «запятая».</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основании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представитель Заявителя отсутствовал, а также в составе жалобы не представлено документов и сведений, свидетельствующих о нарушении аукционной комиссией Заказчика норм Закона о контрактной системе, а именно не представлено доказательств соответствия технологии печати установленным требованиям.</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 этом в обоснование своих доводов Заявитель указывает, что аукционная документация сформирована в нарушение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Вместе с тем указанный довод не может быть рассмотрен Комиссией Управления при рассмотрении жалобы на действия аукционной комиссии Заказчика, так как обжалование положений аукционной документации возможно согласно ч.4 ст.105 Закона о контрактной системе до окончания срока подачи заявок, а не на этапе их рассмотрения.</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 этом, в установленные сроки Заявитель не воспользовался своим правом и не обжаловал положения аукционной документации, что указывает на то, что, давая свое согласие на поставку на условиях, предусмотренных аукционной документацией, при подаче заявки Заявитель был согласен со всеми установленными Заказчиком требованиями.</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Ч.4 ст. 67 Закона о контрактной системе установлено, что участник электронного аукциона не допускается к участию в нем в случае:</w:t>
      </w:r>
    </w:p>
    <w:p>
      <w:pPr>
        <w:pStyle w:val="Style3"/>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3"/>
        <w:numPr>
          <w:ilvl w:val="0"/>
          <w:numId w:val="3"/>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r>
        <w:br w:type="page"/>
      </w:r>
    </w:p>
    <w:p>
      <w:pPr>
        <w:pStyle w:val="Style6"/>
        <w:widowControl w:val="0"/>
        <w:keepNext w:val="0"/>
        <w:keepLines w:val="0"/>
        <w:shd w:val="clear" w:color="auto" w:fill="auto"/>
        <w:bidi w:val="0"/>
        <w:jc w:val="center"/>
        <w:spacing w:before="0" w:after="303" w:line="260" w:lineRule="exact"/>
        <w:ind w:left="0" w:right="20" w:firstLine="0"/>
      </w:pPr>
      <w:r>
        <w:rPr>
          <w:lang w:val="ru-RU" w:eastAsia="ru-RU" w:bidi="ru-RU"/>
          <w:w w:val="100"/>
          <w:spacing w:val="0"/>
          <w:color w:val="000000"/>
          <w:position w:val="0"/>
        </w:rPr>
        <w:t>Р Е Ш И Л А:</w:t>
      </w:r>
    </w:p>
    <w:p>
      <w:pPr>
        <w:pStyle w:val="Style3"/>
        <w:numPr>
          <w:ilvl w:val="0"/>
          <w:numId w:val="5"/>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Признать жалобу ООО «Балтик АйТи» на действия аукционной комиссии ФГБОУ ВО МГППУ необоснованной.</w:t>
      </w:r>
    </w:p>
    <w:p>
      <w:pPr>
        <w:pStyle w:val="Style3"/>
        <w:numPr>
          <w:ilvl w:val="0"/>
          <w:numId w:val="5"/>
        </w:numPr>
        <w:widowControl w:val="0"/>
        <w:keepNext w:val="0"/>
        <w:keepLines w:val="0"/>
        <w:shd w:val="clear" w:color="auto" w:fill="auto"/>
        <w:bidi w:val="0"/>
        <w:jc w:val="both"/>
        <w:spacing w:before="0" w:after="300" w:line="322"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25.10.2021 №ЕИ/65403/21.</w:t>
      </w:r>
    </w:p>
    <w:p>
      <w:pPr>
        <w:pStyle w:val="Style3"/>
        <w:widowControl w:val="0"/>
        <w:keepNext w:val="0"/>
        <w:keepLines w:val="0"/>
        <w:shd w:val="clear" w:color="auto" w:fill="auto"/>
        <w:bidi w:val="0"/>
        <w:jc w:val="both"/>
        <w:spacing w:before="0" w:after="43" w:line="322" w:lineRule="exact"/>
        <w:ind w:left="20" w:right="20" w:firstLine="70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3"/>
        <w:framePr w:w="2973" w:h="1291" w:wrap="around" w:vAnchor="text" w:hAnchor="margin" w:x="30" w:y="-326"/>
        <w:widowControl w:val="0"/>
        <w:keepNext w:val="0"/>
        <w:keepLines w:val="0"/>
        <w:shd w:val="clear" w:color="auto" w:fill="auto"/>
        <w:bidi w:val="0"/>
        <w:jc w:val="both"/>
        <w:spacing w:before="0" w:after="0" w:line="643" w:lineRule="exact"/>
        <w:ind w:left="0" w:right="100" w:firstLine="0"/>
      </w:pPr>
      <w:r>
        <w:rPr>
          <w:rStyle w:val="CharStyle4"/>
          <w:spacing w:val="0"/>
        </w:rPr>
        <w:t>Председатель Комиссии Члены Комиссии</w:t>
      </w:r>
    </w:p>
    <w:p>
      <w:pPr>
        <w:pStyle w:val="Style3"/>
        <w:widowControl w:val="0"/>
        <w:keepNext w:val="0"/>
        <w:keepLines w:val="0"/>
        <w:shd w:val="clear" w:color="auto" w:fill="auto"/>
        <w:bidi w:val="0"/>
        <w:jc w:val="right"/>
        <w:spacing w:before="0" w:after="7751" w:line="643" w:lineRule="exact"/>
        <w:ind w:left="5500" w:right="20" w:firstLine="0"/>
      </w:pPr>
      <w:r>
        <w:rPr>
          <w:lang w:val="ru-RU" w:eastAsia="ru-RU" w:bidi="ru-RU"/>
          <w:w w:val="100"/>
          <w:spacing w:val="0"/>
          <w:color w:val="000000"/>
          <w:position w:val="0"/>
        </w:rPr>
        <w:t>Л.Н. Харченко А.З. Касимова А.А. Кутейников</w:t>
      </w:r>
    </w:p>
    <w:p>
      <w:pPr>
        <w:pStyle w:val="Style12"/>
        <w:widowControl w:val="0"/>
        <w:keepNext w:val="0"/>
        <w:keepLines w:val="0"/>
        <w:shd w:val="clear" w:color="auto" w:fill="auto"/>
        <w:bidi w:val="0"/>
        <w:jc w:val="left"/>
        <w:spacing w:before="0" w:after="0" w:line="180" w:lineRule="exact"/>
        <w:ind w:left="20" w:right="0" w:firstLine="0"/>
      </w:pPr>
      <w:r>
        <w:rPr>
          <w:lang w:val="ru-RU" w:eastAsia="ru-RU" w:bidi="ru-RU"/>
          <w:w w:val="100"/>
          <w:spacing w:val="0"/>
          <w:color w:val="000000"/>
          <w:position w:val="0"/>
        </w:rPr>
        <w:t>Исп. Касимова А.З. Тел. 8 (495)784-75-05</w:t>
      </w:r>
    </w:p>
    <w:sectPr>
      <w:footnotePr>
        <w:pos w:val="pageBottom"/>
        <w:numFmt w:val="decimal"/>
        <w:numRestart w:val="continuous"/>
      </w:footnotePr>
      <w:type w:val="continuous"/>
      <w:pgSz w:w="11906" w:h="16838"/>
      <w:pgMar w:top="1118" w:left="851" w:right="827"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17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738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