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40" w:wrap="around" w:hAnchor="margin" w:x="4718" w:y="1163"/>
        <w:widowControl w:val="0"/>
        <w:keepNext w:val="0"/>
        <w:keepLines w:val="0"/>
        <w:shd w:val="clear" w:color="auto" w:fill="auto"/>
        <w:bidi w:val="0"/>
        <w:jc w:val="left"/>
        <w:spacing w:before="0" w:after="0" w:line="240" w:lineRule="exact"/>
        <w:ind w:left="100" w:right="0" w:firstLine="0"/>
      </w:pPr>
      <w:r>
        <w:rPr>
          <w:rStyle w:val="CharStyle4"/>
          <w:spacing w:val="0"/>
        </w:rPr>
        <w:t>ФГБУ «РАН»</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21" w:left="1292" w:right="7441" w:bottom="371" w:header="0" w:footer="3" w:gutter="0"/>
          <w:rtlGutter w:val="0"/>
          <w:cols w:space="720"/>
          <w:noEndnote/>
          <w:docGrid w:linePitch="360"/>
        </w:sectPr>
      </w:pPr>
      <w:r>
        <w:rPr>
          <w:rStyle w:val="CharStyle7"/>
          <w:b/>
          <w:bCs/>
        </w:rPr>
        <w:t>ФЕДЕРАЛЬНАЯ АНТИМОНОПОЛЬНАЯ СЛУЖБА</w:t>
      </w:r>
    </w:p>
    <w:p>
      <w:pPr>
        <w:widowControl w:val="0"/>
        <w:spacing w:line="168"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456" w:h="635" w:wrap="around" w:vAnchor="text" w:hAnchor="margin" w:x="-3887" w:y="57"/>
        <w:widowControl w:val="0"/>
        <w:keepNext w:val="0"/>
        <w:keepLines w:val="0"/>
        <w:shd w:val="clear" w:color="auto" w:fill="auto"/>
        <w:bidi w:val="0"/>
        <w:jc w:val="left"/>
        <w:spacing w:before="0" w:after="260" w:line="170" w:lineRule="exact"/>
        <w:ind w:left="0" w:right="0" w:firstLine="0"/>
      </w:pPr>
      <w:r>
        <w:rPr>
          <w:rStyle w:val="CharStyle9"/>
          <w:b/>
          <w:bCs/>
          <w:spacing w:val="0"/>
        </w:rPr>
        <w:t>УПРАВЛЕ</w:t>
      </w:r>
      <w:r>
        <w:rPr>
          <w:rStyle w:val="CharStyle10"/>
          <w:b/>
          <w:bCs/>
          <w:spacing w:val="0"/>
        </w:rPr>
        <w:t>НИЕ</w:t>
      </w:r>
    </w:p>
    <w:p>
      <w:pPr>
        <w:pStyle w:val="Style5"/>
        <w:framePr w:w="1456" w:h="635" w:wrap="around" w:vAnchor="text" w:hAnchor="margin" w:x="-3887" w:y="57"/>
        <w:widowControl w:val="0"/>
        <w:keepNext w:val="0"/>
        <w:keepLines w:val="0"/>
        <w:shd w:val="clear" w:color="auto" w:fill="auto"/>
        <w:bidi w:val="0"/>
        <w:jc w:val="left"/>
        <w:spacing w:before="0" w:after="0" w:line="170" w:lineRule="exact"/>
        <w:ind w:left="140" w:right="0" w:firstLine="0"/>
      </w:pPr>
      <w:r>
        <w:rPr>
          <w:rStyle w:val="CharStyle9"/>
          <w:b/>
          <w:bCs/>
          <w:spacing w:val="0"/>
        </w:rPr>
        <w:t>по г. Москве</w:t>
      </w:r>
    </w:p>
    <w:p>
      <w:pPr>
        <w:pStyle w:val="Style3"/>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Ленинский пр., д. 14, г. Москва, 119991</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121" w:left="6097" w:right="774" w:bottom="371" w:header="0" w:footer="3" w:gutter="0"/>
          <w:rtlGutter w:val="0"/>
          <w:cols w:space="720"/>
          <w:noEndnote/>
          <w:docGrid w:linePitch="360"/>
        </w:sectPr>
      </w:pPr>
      <w:r>
        <w:rPr>
          <w:lang w:val="ru-RU" w:eastAsia="ru-RU" w:bidi="ru-RU"/>
          <w:w w:val="100"/>
          <w:spacing w:val="0"/>
          <w:color w:val="000000"/>
          <w:position w:val="0"/>
        </w:rPr>
        <w:t>ООО «СтройТраст»</w:t>
      </w:r>
    </w:p>
    <w:p>
      <w:p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0" w:right="0" w:firstLine="0"/>
      </w:pPr>
      <w:r>
        <w:rPr>
          <w:rStyle w:val="CharStyle14"/>
        </w:rPr>
        <w:t xml:space="preserve">Мясницкий проезд, д.4, стр. 1 107078, г. Москва, тел. (495) 784-75-05, факс (495) 607-49-29 факс (495) 607-42-92, </w:t>
      </w:r>
      <w:r>
        <w:rPr>
          <w:rStyle w:val="CharStyle15"/>
        </w:rPr>
        <w:t>e-mail: to77@,fas.gov.ru</w:t>
      </w:r>
    </w:p>
    <w:p>
      <w:pPr>
        <w:pStyle w:val="Style3"/>
        <w:widowControl w:val="0"/>
        <w:keepNext w:val="0"/>
        <w:keepLines w:val="0"/>
        <w:shd w:val="clear" w:color="auto" w:fill="auto"/>
        <w:bidi w:val="0"/>
        <w:jc w:val="both"/>
        <w:spacing w:before="0" w:after="0" w:line="322" w:lineRule="exact"/>
        <w:ind w:left="20" w:right="0" w:firstLine="0"/>
        <w:sectPr>
          <w:type w:val="continuous"/>
          <w:pgSz w:w="11906" w:h="16838"/>
          <w:pgMar w:top="121" w:left="1024" w:right="1893" w:bottom="371" w:header="0" w:footer="3" w:gutter="0"/>
          <w:rtlGutter w:val="0"/>
          <w:cols w:num="2" w:space="1166"/>
          <w:noEndnote/>
          <w:docGrid w:linePitch="360"/>
        </w:sectPr>
      </w:pPr>
      <w:r>
        <w:rPr>
          <w:lang w:val="ru-RU" w:eastAsia="ru-RU" w:bidi="ru-RU"/>
          <w:w w:val="100"/>
          <w:spacing w:val="0"/>
          <w:color w:val="000000"/>
          <w:position w:val="0"/>
        </w:rPr>
        <w:t>1-й Смоленский пер., д. 5, стр. 2, эт./пом. 4/1, г. Москва, 121099</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170" w:lineRule="exact"/>
        <w:ind w:left="0" w:right="0" w:firstLine="0"/>
        <w:sectPr>
          <w:type w:val="continuous"/>
          <w:pgSz w:w="11906" w:h="16838"/>
          <w:pgMar w:top="121" w:left="2804" w:right="8718" w:bottom="371" w:header="0" w:footer="3" w:gutter="0"/>
          <w:rtlGutter w:val="0"/>
          <w:cols w:space="720"/>
          <w:noEndnote/>
          <w:docGrid w:linePitch="360"/>
        </w:sectPr>
      </w:pPr>
      <w:r>
        <w:rPr>
          <w:rStyle w:val="CharStyle18"/>
        </w:rPr>
        <w:t>№</w:t>
      </w: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60" w:wrap="around" w:vAnchor="text" w:hAnchor="margin" w:x="1895" w:y="12"/>
        <w:widowControl w:val="0"/>
        <w:keepNext w:val="0"/>
        <w:keepLines w:val="0"/>
        <w:shd w:val="clear" w:color="auto" w:fill="auto"/>
        <w:bidi w:val="0"/>
        <w:jc w:val="left"/>
        <w:spacing w:before="0" w:after="0" w:line="160" w:lineRule="exact"/>
        <w:ind w:left="100" w:right="0" w:firstLine="0"/>
      </w:pPr>
      <w:r>
        <w:rPr>
          <w:rStyle w:val="CharStyle20"/>
          <w:spacing w:val="0"/>
        </w:rPr>
        <w:t>от</w:t>
      </w:r>
    </w:p>
    <w:p>
      <w:pPr>
        <w:pStyle w:val="Style21"/>
        <w:widowControl w:val="0"/>
        <w:keepNext w:val="0"/>
        <w:keepLines w:val="0"/>
        <w:shd w:val="clear" w:color="auto" w:fill="auto"/>
        <w:bidi w:val="0"/>
        <w:jc w:val="left"/>
        <w:spacing w:before="0" w:after="0" w:line="170" w:lineRule="exact"/>
        <w:ind w:left="0" w:right="0" w:firstLine="0"/>
        <w:sectPr>
          <w:type w:val="continuous"/>
          <w:pgSz w:w="11906" w:h="16838"/>
          <w:pgMar w:top="121" w:left="832" w:right="10437" w:bottom="371" w:header="0" w:footer="3" w:gutter="0"/>
          <w:rtlGutter w:val="0"/>
          <w:cols w:space="720"/>
          <w:noEndnote/>
          <w:docGrid w:linePitch="360"/>
        </w:sectPr>
      </w:pPr>
      <w:r>
        <w:rPr>
          <w:rStyle w:val="CharStyle23"/>
        </w:rPr>
        <w:t>На№</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310" w:wrap="around" w:vAnchor="text" w:hAnchor="margin" w:x="-2197" w:y="1"/>
        <w:widowControl w:val="0"/>
        <w:keepNext w:val="0"/>
        <w:keepLines w:val="0"/>
        <w:shd w:val="clear" w:color="auto" w:fill="auto"/>
        <w:bidi w:val="0"/>
        <w:jc w:val="left"/>
        <w:spacing w:before="0" w:after="0" w:line="280" w:lineRule="exact"/>
        <w:ind w:left="0" w:right="0" w:firstLine="0"/>
      </w:pPr>
      <w:r>
        <w:rPr>
          <w:rStyle w:val="CharStyle26"/>
        </w:rPr>
        <w:t>Г</w:t>
      </w:r>
    </w:p>
    <w:p>
      <w:pPr>
        <w:pStyle w:val="Style27"/>
        <w:widowControl w:val="0"/>
        <w:keepNext w:val="0"/>
        <w:keepLines w:val="0"/>
        <w:shd w:val="clear" w:color="auto" w:fill="auto"/>
        <w:bidi w:val="0"/>
        <w:jc w:val="left"/>
        <w:spacing w:before="0" w:after="302" w:line="540" w:lineRule="exact"/>
        <w:ind w:left="1600" w:right="0" w:firstLine="0"/>
      </w:pPr>
      <w:r>
        <w:rPr>
          <w:rStyle w:val="CharStyle29"/>
        </w:rPr>
        <w:t>п</w:t>
      </w:r>
    </w:p>
    <w:p>
      <w:pPr>
        <w:pStyle w:val="Style30"/>
        <w:widowControl w:val="0"/>
        <w:keepNext w:val="0"/>
        <w:keepLines w:val="0"/>
        <w:shd w:val="clear" w:color="auto" w:fill="auto"/>
        <w:bidi w:val="0"/>
        <w:spacing w:before="0" w:after="0"/>
        <w:ind w:left="0" w:right="0" w:firstLine="0"/>
        <w:sectPr>
          <w:type w:val="continuous"/>
          <w:pgSz w:w="11906" w:h="16838"/>
          <w:pgMar w:top="121" w:left="3020" w:right="2871" w:bottom="371" w:header="0" w:footer="3" w:gutter="0"/>
          <w:rtlGutter w:val="0"/>
          <w:cols w:space="720"/>
          <w:noEndnote/>
          <w:docGrid w:linePitch="360"/>
        </w:sectPr>
      </w:pPr>
      <w:r>
        <w:rPr>
          <w:lang w:val="ru-RU" w:eastAsia="ru-RU" w:bidi="ru-RU"/>
          <w:w w:val="100"/>
          <w:spacing w:val="0"/>
          <w:color w:val="000000"/>
          <w:position w:val="0"/>
        </w:rPr>
        <w:t>РЕШЕНИЕ по делу № 077/06/106-19112/2021 о нарушении законодательства о контрактной системе</w:t>
      </w:r>
    </w:p>
    <w:p>
      <w:pPr>
        <w:widowControl w:val="0"/>
        <w:spacing w:line="4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framePr w:h="240" w:wrap="around" w:vAnchor="text" w:hAnchor="margin" w:x="8875" w:y="6"/>
        <w:widowControl w:val="0"/>
        <w:keepNext w:val="0"/>
        <w:keepLines w:val="0"/>
        <w:shd w:val="clear" w:color="auto" w:fill="auto"/>
        <w:bidi w:val="0"/>
        <w:jc w:val="left"/>
        <w:spacing w:before="0" w:after="0" w:line="240" w:lineRule="exact"/>
        <w:ind w:left="100" w:right="0" w:firstLine="0"/>
      </w:pPr>
      <w:r>
        <w:rPr>
          <w:rStyle w:val="CharStyle32"/>
          <w:b/>
          <w:bCs/>
          <w:spacing w:val="0"/>
        </w:rPr>
        <w:t>г. Москва</w:t>
      </w:r>
    </w:p>
    <w:p>
      <w:pPr>
        <w:pStyle w:val="Style30"/>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26.10.2021</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3"/>
        <w:tabs>
          <w:tab w:leader="none" w:pos="64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участии представителя ФГБУ «РАН»: Трещилиной Г.К. (дов. №2-10120</w:t>
        <w:softHyphen/>
        <w:t>1615/1648 от 23/12/2020),</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отсутствие представителей ООО «СтройТраст», уведомленных о времени и порядке заседания Комиссии письмом Московского УФАС России (исх. № ЕИ/65140/21 от 22.10.2021),</w:t>
      </w:r>
    </w:p>
    <w:p>
      <w:pPr>
        <w:pStyle w:val="Style3"/>
        <w:widowControl w:val="0"/>
        <w:keepNext w:val="0"/>
        <w:keepLines w:val="0"/>
        <w:shd w:val="clear" w:color="auto" w:fill="auto"/>
        <w:bidi w:val="0"/>
        <w:jc w:val="both"/>
        <w:spacing w:before="0" w:after="236" w:line="322" w:lineRule="exact"/>
        <w:ind w:left="20" w:right="20" w:firstLine="680"/>
      </w:pPr>
      <w:r>
        <w:rPr>
          <w:lang w:val="ru-RU" w:eastAsia="ru-RU" w:bidi="ru-RU"/>
          <w:w w:val="100"/>
          <w:spacing w:val="0"/>
          <w:color w:val="000000"/>
          <w:position w:val="0"/>
        </w:rPr>
        <w:t>рассмотрев жалобу ООО «СтройТраст» (далее — Заявитель) на действия ФГБУ «РАН» (далее — Заказчик) при проведении открытого конкурса в электронной форме на право заключения государственного контракта на выполнение работ по комплексному обследованию технического состояния здания РАН, разработке проектно-сметной документации на капитальный ремонт здания РАН,</w:t>
      </w:r>
    </w:p>
    <w:p>
      <w:pPr>
        <w:pStyle w:val="Style33"/>
        <w:widowControl w:val="0"/>
        <w:keepNext w:val="0"/>
        <w:keepLines w:val="0"/>
        <w:shd w:val="clear" w:color="auto" w:fill="auto"/>
        <w:bidi w:val="0"/>
        <w:jc w:val="left"/>
        <w:spacing w:before="0" w:after="0" w:line="240" w:lineRule="auto"/>
        <w:ind w:left="0" w:right="0" w:firstLine="0"/>
        <w:sectPr>
          <w:type w:val="continuous"/>
          <w:pgSz w:w="11906" w:h="16838"/>
          <w:pgMar w:top="121" w:left="788" w:right="898" w:bottom="371" w:header="0" w:footer="3" w:gutter="0"/>
          <w:rtlGutter w:val="0"/>
          <w:cols w:space="720"/>
          <w:noEndnote/>
          <w:docGrid w:linePitch="360"/>
        </w:sectPr>
      </w:pPr>
      <w:r>
        <w:rPr>
          <w:w w:val="100"/>
          <w:spacing w:val="0"/>
          <w:color w:val="000000"/>
          <w:position w:val="0"/>
        </w:rPr>
        <w:t>000324807556</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расположенного по адресу: г. Москва, Ленинский проспект, д. 32А, зоны А, Б, В, Г, Д, И, подземной автостоянки (Закупка № 0373100029621000041)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35"/>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конкурса.</w:t>
      </w:r>
    </w:p>
    <w:p>
      <w:pPr>
        <w:pStyle w:val="Style3"/>
        <w:tabs>
          <w:tab w:leader="none" w:pos="10186" w:val="righ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22.10.2021</w:t>
        <w:tab/>
        <w:t>№</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ЕИ/65140/21 документы и сведения.</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составе жалобы Заявитель указывает на установление в конкурсной документации неправомерного порядка оценки заявок участников закупки по показателям «Опыт участника по разработке проектной документации при оказании услуг (выполнении работ) сопоставимого характера», «Опыт участника по успешному выполнению работ получения положительного заключения экспертизы при оказании услуг (выполнении работ) сопоставимого характера»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Ч.1 ст.32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3"/>
        <w:numPr>
          <w:ilvl w:val="0"/>
          <w:numId w:val="1"/>
        </w:numPr>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 xml:space="preserve"> цена контракта;</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3"/>
        <w:numPr>
          <w:ilvl w:val="0"/>
          <w:numId w:val="1"/>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
        <w:tabs>
          <w:tab w:leader="none" w:pos="3695" w:val="center"/>
          <w:tab w:leader="none" w:pos="4372"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Согласно п.8 ч.1</w:t>
        <w:tab/>
        <w:t>ст.54.3</w:t>
        <w:tab/>
        <w:t>Закона о контрактной системе конкурсная</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ч.15 ст.54.4 Закона о контрактной системе не допускается устанавливать иные требования к оформлению заявки, не предусмотренные статьей 54.4 Закона о контрактной системе, а также частями 5 и 6 статьи 24.1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п.11 Правил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 Сумма величин значимости</w:t>
      </w:r>
    </w:p>
    <w:p>
      <w:pPr>
        <w:pStyle w:val="Style3"/>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показателей критерия оценки должна составлять 100 процентов.</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На основании изложенного, при наличии в документации о закупке показателей нестоимостного критерия, порядок оценки должен содержать:</w:t>
      </w:r>
    </w:p>
    <w:p>
      <w:pPr>
        <w:pStyle w:val="Style3"/>
        <w:numPr>
          <w:ilvl w:val="0"/>
          <w:numId w:val="3"/>
        </w:numPr>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 значимость в отношении каждого показателя, которая в соответствии с п.3 Правил является выраженным в процентах весом показателя;</w:t>
      </w:r>
    </w:p>
    <w:p>
      <w:pPr>
        <w:pStyle w:val="Style3"/>
        <w:numPr>
          <w:ilvl w:val="0"/>
          <w:numId w:val="3"/>
        </w:numPr>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 сумму величин значимости показателей критерия оценки в размере 100 процентов;</w:t>
      </w:r>
    </w:p>
    <w:p>
      <w:pPr>
        <w:pStyle w:val="Style3"/>
        <w:numPr>
          <w:ilvl w:val="0"/>
          <w:numId w:val="3"/>
        </w:numPr>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 формулу расчета или шкалу количества баллов, предусматривающую присвоение по каждому показателю от 0 до 100 баллов (для дальнейшего умножения на коэффициент значимости показателя).</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Согласно п.27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Правил):</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3"/>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г) обеспеченность участника закупки трудовыми ресурсами;</w:t>
      </w:r>
    </w:p>
    <w:p>
      <w:pPr>
        <w:pStyle w:val="Style3"/>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д) деловая репутация участника закупки.</w:t>
      </w:r>
    </w:p>
    <w:p>
      <w:pPr>
        <w:pStyle w:val="Style3"/>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Комиссией Управления определено, что согласно конкурсной документации Заказчиком установлен, в том числе, следующий порядок оценки заявок по обжалуемым показателям:</w:t>
      </w:r>
    </w:p>
    <w:p>
      <w:pPr>
        <w:pStyle w:val="Style37"/>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Показатель «Опыт участника по разработке проектной документации при оказании услуг (выполнении работ) сопоставимого характера»:</w:t>
      </w:r>
    </w:p>
    <w:p>
      <w:pPr>
        <w:pStyle w:val="Style37"/>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«Значимость критерия оценки: 40%.</w:t>
      </w:r>
    </w:p>
    <w:p>
      <w:pPr>
        <w:pStyle w:val="Style37"/>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Коэффициент значимости критерия оценки - 0,4.</w:t>
      </w:r>
    </w:p>
    <w:p>
      <w:pPr>
        <w:pStyle w:val="Style37"/>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Оценка и сопоставление заявок на участие в конкурсе по данному показателю осуществляется в соответствии с пунктом 24 Правил оценки.</w:t>
      </w:r>
    </w:p>
    <w:p>
      <w:pPr>
        <w:pStyle w:val="Style37"/>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Лучшим условием исполнения контракта по данному показателю является наибольшее предложение участника (с учетом правопреемства) о количестве (исчисляемом в штуках) успешно исполненных контрактов (договоров) з</w:t>
      </w:r>
      <w:r>
        <w:rPr>
          <w:rStyle w:val="CharStyle39"/>
          <w:i/>
          <w:iCs/>
        </w:rPr>
        <w:t xml:space="preserve">а последние 3 года </w:t>
      </w:r>
      <w:r>
        <w:rPr>
          <w:lang w:val="ru-RU" w:eastAsia="ru-RU" w:bidi="ru-RU"/>
          <w:w w:val="100"/>
          <w:spacing w:val="0"/>
          <w:color w:val="000000"/>
          <w:position w:val="0"/>
        </w:rPr>
        <w:t>до даты подачи заявки на участие в конкурсе (начало контракта (договора) может выходить за рамки указанного периода),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Федеральным законом от 18.07.2011 № 223-ФЗ «О закупках товаров, работ, услуг отдельными видами юридических лиц», на выполнение работ (оказание</w:t>
      </w:r>
    </w:p>
    <w:p>
      <w:pPr>
        <w:pStyle w:val="Style37"/>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услуг) сопоставимого характера и объёма.</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Сведения в отношении опыта считаются подтвержденными при предоставлении одновременно следующих документов (по каждому исполненному контракту (договору)):</w:t>
      </w:r>
    </w:p>
    <w:p>
      <w:pPr>
        <w:pStyle w:val="Style37"/>
        <w:numPr>
          <w:ilvl w:val="0"/>
          <w:numId w:val="5"/>
        </w:numPr>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 xml:space="preserve"> копии исполненного контракта (договора);</w:t>
      </w:r>
    </w:p>
    <w:p>
      <w:pPr>
        <w:pStyle w:val="Style37"/>
        <w:numPr>
          <w:ilvl w:val="0"/>
          <w:numId w:val="5"/>
        </w:numPr>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 копии акта(ов) приемки работ, подтверждающего(их) приемку работ по контракту (договору) в полном объеме.</w:t>
      </w:r>
    </w:p>
    <w:p>
      <w:pPr>
        <w:pStyle w:val="Style37"/>
        <w:numPr>
          <w:ilvl w:val="0"/>
          <w:numId w:val="5"/>
        </w:numPr>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 xml:space="preserve"> копии документов о положительном заключении экспертизы/</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подписи и печати.</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Представленные участником конкурса контракты, исполнение которых не подтверждено документально, не учитываются при оценке».</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Показатель «Опыт участника по успешному выполнению работ получения положительного заключения экспертизы при оказании услуг (выполнении работ) сопоставимого характера»:</w:t>
      </w:r>
    </w:p>
    <w:p>
      <w:pPr>
        <w:pStyle w:val="Style37"/>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Значимость критерия оценки: 30%.</w:t>
      </w:r>
    </w:p>
    <w:p>
      <w:pPr>
        <w:pStyle w:val="Style37"/>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Коэффициент значимости критерия оценки - 0,30.</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Оценка и сопоставление заявок на участие в конкурсе по данному показателю осуществляется в соответствии с пунктом 24 Правил оценки.</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 xml:space="preserve">Лучшим условием исполнения контракта по данному показателю является наибольшее предложение участника (с учетом правопреемства) о количестве (исчисляемом в штуках) успешно исполненных контрактов (договоров) </w:t>
      </w:r>
      <w:r>
        <w:rPr>
          <w:rStyle w:val="CharStyle39"/>
          <w:i/>
          <w:iCs/>
        </w:rPr>
        <w:t xml:space="preserve">за последние 3 года </w:t>
      </w:r>
      <w:r>
        <w:rPr>
          <w:lang w:val="ru-RU" w:eastAsia="ru-RU" w:bidi="ru-RU"/>
          <w:w w:val="100"/>
          <w:spacing w:val="0"/>
          <w:color w:val="000000"/>
          <w:position w:val="0"/>
        </w:rPr>
        <w:t>до даты подачи заявки на участие в конкурсе (начало контракта (договора) может выходить за рамки указанного периода),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Федеральным законом от 18.07.2011 № 223-ФЗ «О закупках товаров, работ, услуг отдельными видами юридических лиц», на выполнение работ (оказание услуг) сопоставимого характера и объёма.</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Под опытом работ (услуг) сопоставимого характера, принимаемым к оценке, понимается опыт по контрактам (договорам), удовлетворяющий одновременно всем следующим требованиям:</w:t>
      </w:r>
    </w:p>
    <w:p>
      <w:pPr>
        <w:pStyle w:val="Style37"/>
        <w:numPr>
          <w:ilvl w:val="0"/>
          <w:numId w:val="5"/>
        </w:numPr>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 xml:space="preserve"> предмет исполненного контракта (договора):</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выполнение работ по получению положительной экспертизы, включая государственную, для проектной документации на реконструкцию, капитальный ремонт объекта(-ов) капитального строительства (за исключением линейного объекта), новое строительство;</w:t>
      </w:r>
    </w:p>
    <w:p>
      <w:pPr>
        <w:pStyle w:val="Style37"/>
        <w:widowControl w:val="0"/>
        <w:keepNext w:val="0"/>
        <w:keepLines w:val="0"/>
        <w:shd w:val="clear" w:color="auto" w:fill="auto"/>
        <w:bidi w:val="0"/>
        <w:spacing w:before="0" w:after="0"/>
        <w:ind w:left="40" w:right="40" w:firstLine="680"/>
      </w:pPr>
      <w:r>
        <w:rPr>
          <w:lang w:val="ru-RU" w:eastAsia="ru-RU" w:bidi="ru-RU"/>
          <w:w w:val="100"/>
          <w:spacing w:val="0"/>
          <w:color w:val="000000"/>
          <w:position w:val="0"/>
        </w:rPr>
        <w:t>Сведения в отношении опыта считаются подтвержденными при предоставлении одновременно следующих документов (по каждому исполненному контракту (договору)):</w:t>
      </w:r>
    </w:p>
    <w:p>
      <w:pPr>
        <w:pStyle w:val="Style40"/>
        <w:numPr>
          <w:ilvl w:val="0"/>
          <w:numId w:val="5"/>
        </w:numPr>
        <w:widowControl w:val="0"/>
        <w:keepNext/>
        <w:keepLines/>
        <w:shd w:val="clear" w:color="auto" w:fill="auto"/>
        <w:bidi w:val="0"/>
        <w:spacing w:before="0" w:after="0"/>
        <w:ind w:left="40" w:right="0"/>
      </w:pPr>
      <w:bookmarkStart w:id="1" w:name="bookmark1"/>
      <w:r>
        <w:rPr>
          <w:lang w:val="ru-RU" w:eastAsia="ru-RU" w:bidi="ru-RU"/>
          <w:w w:val="100"/>
          <w:spacing w:val="0"/>
          <w:color w:val="000000"/>
          <w:position w:val="0"/>
        </w:rPr>
        <w:t xml:space="preserve"> копии документов о положительном заключении экспертизы.</w:t>
      </w:r>
      <w:bookmarkEnd w:id="1"/>
    </w:p>
    <w:p>
      <w:pPr>
        <w:pStyle w:val="Style37"/>
        <w:widowControl w:val="0"/>
        <w:keepNext w:val="0"/>
        <w:keepLines w:val="0"/>
        <w:shd w:val="clear" w:color="auto" w:fill="auto"/>
        <w:bidi w:val="0"/>
        <w:spacing w:before="0" w:after="0"/>
        <w:ind w:left="40" w:right="0" w:firstLine="68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составе жалобы Заявитель указывает на неправомерное, по его мнению, условие об оценке опыта исключительно по контрактам, исполненным за последние 3 года до даты подачи заявки участником на участие в конкурсе.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Заказчик в праве самостоятельно устанавливать требования к порядку подтверждения наличия опыта у участника закупки, а также раскрывать содержание, определяющее сопоставимость имеющегося у участников закупки опыта по выполнению работ, оказанию услуг с предметом осуществляемой закупки. Вместе с тем, установленное ограничение по сроку позволяет Заказчику оценить актуальный опыт по исполнению соответствующих видов работ.</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Комиссия Управления отмечает, что из совокупного толкования положений Закона о контрактной системе, в частности ст.37, ч.8.1 ст.96 Закона о контрактной системе, усматривается, что разумным сроком по смыслу законодателя для подтверждения опыта также может являться трехлетний срок.</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установление единого временного периода, во время которого контракты (договоры) должны быть завершены, вопреки доводам Заявителя, позволяет объективно сопоставить предложения участников закупки в рамках единых условий.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том, что указанный довод жалобы не нашел своего подтверждения и является необоснованным.</w:t>
      </w:r>
    </w:p>
    <w:p>
      <w:pPr>
        <w:pStyle w:val="Style3"/>
        <w:numPr>
          <w:ilvl w:val="0"/>
          <w:numId w:val="7"/>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Также, по мнению Заявителя, указанный порядок оценки по показателю «Опыт участника по успешному выполнению работ получения положительного заключения экспертизы при оказании услуг (выполнении работ) сопоставимого характера» содержит излишнее требование о представлении документов.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мнению Заявителя отсутствие всех приложений в составе заявки на участие в Конкурсе (ПСД, формы актов и т.д.) к исполненному контракту (договору), не свидетельствует об отсутствии у участника закупки, подавшего такую заявку, требуемого опыта выполнения работ.</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Комиссией Управления установлено, что порядок оценки по показателю «Опыт участника по успешному выполнению работ получения положительного заключения экспертизы при оказании услуг (выполнении работ) сопоставимого характера» содержит указание исключительно о необходимости предоставлении копий документов о положительном заключении экспертизы в полном объеме со всеми приложениями, являющимися неотъемлемой частью такого заключения, что, по мнению Комиссии Управления соответствует выявлению лучших условий выполнения работ, в рамках данной закупочной процедуры, так как согласно извещению о проведении открытого конкурса в электронной форме от</w:t>
      </w:r>
    </w:p>
    <w:p>
      <w:pPr>
        <w:pStyle w:val="Style3"/>
        <w:numPr>
          <w:ilvl w:val="0"/>
          <w:numId w:val="9"/>
        </w:numPr>
        <w:tabs>
          <w:tab w:leader="none" w:pos="137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№0373100029621000041 объектом закупки является выполнение работ по комплексному обследованию технического состояния здания РАН, разработке проектно-сметной документации на капитальный ремонт здания РАН, при этом, в открытых источников, в частности в Единой информационной системе, требуемые Заказчиком документы могут отсутствовать, ввиду чего у конкурсной комиссии Заказчика, в случае отсутствия требуемых документов в составе заявки участника закупки, не будет возможности провести проверку документов надлежащим образом.</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а также в составе жалобы Заявителем не представлено документов и сведений, подтверждающих тот факт, что установленный порядок оценки затрудняет формирование заявки на участие в конкурсе, равно как Заявителем не представлено документов и доказательств, свидетельствующих о нарушении заказчиком положений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данный довод жалобы Заявителя не нашел своего подтверждения и являются необоснованным.</w:t>
      </w:r>
    </w:p>
    <w:p>
      <w:pPr>
        <w:pStyle w:val="Style3"/>
        <w:widowControl w:val="0"/>
        <w:keepNext w:val="0"/>
        <w:keepLines w:val="0"/>
        <w:shd w:val="clear" w:color="auto" w:fill="auto"/>
        <w:bidi w:val="0"/>
        <w:jc w:val="both"/>
        <w:spacing w:before="0" w:after="349" w:line="322" w:lineRule="exact"/>
        <w:ind w:left="2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35"/>
        <w:widowControl w:val="0"/>
        <w:keepNext/>
        <w:keepLines/>
        <w:shd w:val="clear" w:color="auto" w:fill="auto"/>
        <w:bidi w:val="0"/>
        <w:jc w:val="left"/>
        <w:spacing w:before="0" w:after="299" w:line="260" w:lineRule="exact"/>
        <w:ind w:left="4580" w:right="0" w:firstLine="0"/>
      </w:pPr>
      <w:bookmarkStart w:id="2" w:name="bookmark2"/>
      <w:r>
        <w:rPr>
          <w:lang w:val="ru-RU" w:eastAsia="ru-RU" w:bidi="ru-RU"/>
          <w:w w:val="100"/>
          <w:spacing w:val="0"/>
          <w:color w:val="000000"/>
          <w:position w:val="0"/>
        </w:rPr>
        <w:t>Р Е Ш И Л А:</w:t>
      </w:r>
      <w:bookmarkEnd w:id="2"/>
    </w:p>
    <w:p>
      <w:pPr>
        <w:pStyle w:val="Style3"/>
        <w:numPr>
          <w:ilvl w:val="0"/>
          <w:numId w:val="11"/>
        </w:numPr>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 xml:space="preserve"> Признать жалобу ООО «СтройТраст» на действия ФГБУ «РАН» необоснованной.</w:t>
      </w:r>
    </w:p>
    <w:p>
      <w:pPr>
        <w:pStyle w:val="Style3"/>
        <w:numPr>
          <w:ilvl w:val="0"/>
          <w:numId w:val="11"/>
        </w:numPr>
        <w:widowControl w:val="0"/>
        <w:keepNext w:val="0"/>
        <w:keepLines w:val="0"/>
        <w:shd w:val="clear" w:color="auto" w:fill="auto"/>
        <w:bidi w:val="0"/>
        <w:jc w:val="both"/>
        <w:spacing w:before="0" w:after="300" w:line="322" w:lineRule="exact"/>
        <w:ind w:left="20" w:right="20" w:firstLine="680"/>
      </w:pPr>
      <w:r>
        <w:rPr>
          <w:lang w:val="ru-RU" w:eastAsia="ru-RU" w:bidi="ru-RU"/>
          <w:w w:val="100"/>
          <w:spacing w:val="0"/>
          <w:color w:val="000000"/>
          <w:position w:val="0"/>
        </w:rPr>
        <w:t xml:space="preserve"> Снять ограничения на осуществление закупки, наложенные письмом Московского УФАС России 22.10.2021 №ЕИ/65140/21.</w:t>
      </w:r>
    </w:p>
    <w:p>
      <w:pPr>
        <w:pStyle w:val="Style3"/>
        <w:widowControl w:val="0"/>
        <w:keepNext w:val="0"/>
        <w:keepLines w:val="0"/>
        <w:shd w:val="clear" w:color="auto" w:fill="auto"/>
        <w:bidi w:val="0"/>
        <w:jc w:val="both"/>
        <w:spacing w:before="0" w:after="43" w:line="322" w:lineRule="exact"/>
        <w:ind w:left="2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914" w:val="right"/>
          <w:tab w:leader="none" w:pos="101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9116" w:val="center"/>
          <w:tab w:leader="none" w:pos="101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Н.А.</w:t>
        <w:tab/>
        <w:t>Узкий</w:t>
      </w:r>
    </w:p>
    <w:p>
      <w:pPr>
        <w:pStyle w:val="Style3"/>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А.А. Матюшенко</w:t>
      </w:r>
    </w:p>
    <w:p>
      <w:pPr>
        <w:pStyle w:val="Style42"/>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 Матюшенко А.А., 8(495) 784-75-05</w:t>
      </w:r>
    </w:p>
    <w:sectPr>
      <w:pgSz w:w="11906" w:h="16838"/>
      <w:pgMar w:top="1262" w:left="846" w:right="822" w:bottom="11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bCs/>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17.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8">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2) Exact"/>
    <w:basedOn w:val="CharStyle6"/>
    <w:rPr>
      <w:lang w:val="ru-RU" w:eastAsia="ru-RU" w:bidi="ru-RU"/>
      <w:sz w:val="17"/>
      <w:szCs w:val="17"/>
      <w:w w:val="100"/>
      <w:spacing w:val="2"/>
      <w:color w:val="000000"/>
      <w:position w:val="0"/>
    </w:rPr>
  </w:style>
  <w:style w:type="character" w:customStyle="1" w:styleId="CharStyle10">
    <w:name w:val="Основной текст (2) Exact"/>
    <w:basedOn w:val="CharStyle6"/>
    <w:rPr>
      <w:lang w:val="ru-RU" w:eastAsia="ru-RU" w:bidi="ru-RU"/>
      <w:u w:val="single"/>
      <w:sz w:val="17"/>
      <w:szCs w:val="17"/>
      <w:w w:val="100"/>
      <w:spacing w:val="2"/>
      <w:color w:val="000000"/>
      <w:position w:val="0"/>
    </w:rPr>
  </w:style>
  <w:style w:type="character" w:customStyle="1" w:styleId="CharStyle11">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7"/>
      <w:szCs w:val="17"/>
      <w:rFonts w:ascii="Tahoma" w:eastAsia="Tahoma" w:hAnsi="Tahoma" w:cs="Tahoma"/>
    </w:rPr>
  </w:style>
  <w:style w:type="character" w:customStyle="1" w:styleId="CharStyle18">
    <w:name w:val="Основной текст (4)"/>
    <w:basedOn w:val="CharStyle17"/>
    <w:rPr>
      <w:lang w:val="ru-RU" w:eastAsia="ru-RU" w:bidi="ru-RU"/>
      <w:w w:val="100"/>
      <w:spacing w:val="0"/>
      <w:color w:val="000000"/>
      <w:position w:val="0"/>
    </w:rPr>
  </w:style>
  <w:style w:type="character" w:customStyle="1" w:styleId="CharStyle1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20">
    <w:name w:val="Основной текст (3) Exact"/>
    <w:basedOn w:val="CharStyle13"/>
    <w:rPr>
      <w:lang w:val="ru-RU" w:eastAsia="ru-RU" w:bidi="ru-RU"/>
      <w:sz w:val="16"/>
      <w:szCs w:val="16"/>
      <w:w w:val="100"/>
      <w:spacing w:val="3"/>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3">
    <w:name w:val="Основной текст (5)"/>
    <w:basedOn w:val="CharStyle22"/>
    <w:rPr>
      <w:lang w:val="ru-RU" w:eastAsia="ru-RU" w:bidi="ru-RU"/>
      <w:w w:val="100"/>
      <w:color w:val="000000"/>
      <w:position w:val="0"/>
    </w:rPr>
  </w:style>
  <w:style w:type="character" w:customStyle="1" w:styleId="CharStyle25">
    <w:name w:val="Основной текст (8) Exact"/>
    <w:basedOn w:val="DefaultParagraphFont"/>
    <w:link w:val="Style24"/>
    <w:rPr>
      <w:b w:val="0"/>
      <w:bCs w:val="0"/>
      <w:i w:val="0"/>
      <w:iCs w:val="0"/>
      <w:u w:val="none"/>
      <w:strike w:val="0"/>
      <w:smallCaps w:val="0"/>
      <w:sz w:val="28"/>
      <w:szCs w:val="28"/>
      <w:rFonts w:ascii="Tahoma" w:eastAsia="Tahoma" w:hAnsi="Tahoma" w:cs="Tahoma"/>
      <w:w w:val="200"/>
    </w:rPr>
  </w:style>
  <w:style w:type="character" w:customStyle="1" w:styleId="CharStyle26">
    <w:name w:val="Основной текст (8) Exact"/>
    <w:basedOn w:val="CharStyle25"/>
    <w:rPr>
      <w:lang w:val="ru-RU" w:eastAsia="ru-RU" w:bidi="ru-RU"/>
      <w:spacing w:val="0"/>
      <w:color w:val="000000"/>
      <w:position w:val="0"/>
    </w:rPr>
  </w:style>
  <w:style w:type="character" w:customStyle="1" w:styleId="CharStyle28">
    <w:name w:val="Основной текст (6)_"/>
    <w:basedOn w:val="DefaultParagraphFont"/>
    <w:link w:val="Style27"/>
    <w:rPr>
      <w:b w:val="0"/>
      <w:bCs w:val="0"/>
      <w:i w:val="0"/>
      <w:iCs w:val="0"/>
      <w:u w:val="none"/>
      <w:strike w:val="0"/>
      <w:smallCaps w:val="0"/>
      <w:sz w:val="54"/>
      <w:szCs w:val="54"/>
      <w:rFonts w:ascii="Times New Roman" w:eastAsia="Times New Roman" w:hAnsi="Times New Roman" w:cs="Times New Roman"/>
    </w:rPr>
  </w:style>
  <w:style w:type="character" w:customStyle="1" w:styleId="CharStyle29">
    <w:name w:val="Основной текст (6)"/>
    <w:basedOn w:val="CharStyle28"/>
    <w:rPr>
      <w:lang w:val="ru-RU" w:eastAsia="ru-RU" w:bidi="ru-RU"/>
      <w:w w:val="100"/>
      <w:spacing w:val="0"/>
      <w:color w:val="000000"/>
      <w:position w:val="0"/>
    </w:rPr>
  </w:style>
  <w:style w:type="character" w:customStyle="1" w:styleId="CharStyle31">
    <w:name w:val="Основной текст (7)_"/>
    <w:basedOn w:val="DefaultParagraphFont"/>
    <w:link w:val="Style30"/>
    <w:rPr>
      <w:b/>
      <w:bCs/>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7) Exact"/>
    <w:basedOn w:val="DefaultParagraphFont"/>
    <w:rPr>
      <w:b/>
      <w:bCs/>
      <w:i w:val="0"/>
      <w:iCs w:val="0"/>
      <w:u w:val="none"/>
      <w:strike w:val="0"/>
      <w:smallCaps w:val="0"/>
      <w:rFonts w:ascii="Times New Roman" w:eastAsia="Times New Roman" w:hAnsi="Times New Roman" w:cs="Times New Roman"/>
      <w:spacing w:val="3"/>
    </w:rPr>
  </w:style>
  <w:style w:type="character" w:customStyle="1" w:styleId="CharStyle34">
    <w:name w:val="Штрих-код (2)_"/>
    <w:basedOn w:val="DefaultParagraphFont"/>
    <w:link w:val="Style3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Заголовок №1 (2)_"/>
    <w:basedOn w:val="DefaultParagraphFont"/>
    <w:link w:val="Style35"/>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9)_"/>
    <w:basedOn w:val="DefaultParagraphFont"/>
    <w:link w:val="Style37"/>
    <w:rPr>
      <w:b w:val="0"/>
      <w:bCs w:val="0"/>
      <w:i/>
      <w:iCs/>
      <w:u w:val="none"/>
      <w:strike w:val="0"/>
      <w:smallCaps w:val="0"/>
      <w:sz w:val="26"/>
      <w:szCs w:val="26"/>
      <w:rFonts w:ascii="Times New Roman" w:eastAsia="Times New Roman" w:hAnsi="Times New Roman" w:cs="Times New Roman"/>
    </w:rPr>
  </w:style>
  <w:style w:type="character" w:customStyle="1" w:styleId="CharStyle39">
    <w:name w:val="Основной текст (9) + Полужирный"/>
    <w:basedOn w:val="CharStyle38"/>
    <w:rPr>
      <w:lang w:val="ru-RU" w:eastAsia="ru-RU" w:bidi="ru-RU"/>
      <w:b/>
      <w:bCs/>
      <w:w w:val="100"/>
      <w:spacing w:val="0"/>
      <w:color w:val="000000"/>
      <w:position w:val="0"/>
    </w:rPr>
  </w:style>
  <w:style w:type="character" w:customStyle="1" w:styleId="CharStyle41">
    <w:name w:val="Заголовок №1_"/>
    <w:basedOn w:val="DefaultParagraphFont"/>
    <w:link w:val="Style40"/>
    <w:rPr>
      <w:b/>
      <w:bCs/>
      <w:i/>
      <w:iCs/>
      <w:u w:val="none"/>
      <w:strike w:val="0"/>
      <w:smallCaps w:val="0"/>
      <w:sz w:val="26"/>
      <w:szCs w:val="26"/>
      <w:rFonts w:ascii="Times New Roman" w:eastAsia="Times New Roman" w:hAnsi="Times New Roman" w:cs="Times New Roman"/>
    </w:rPr>
  </w:style>
  <w:style w:type="character" w:customStyle="1" w:styleId="CharStyle43">
    <w:name w:val="Основной текст (10)_"/>
    <w:basedOn w:val="DefaultParagraphFont"/>
    <w:link w:val="Style42"/>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11"/>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line="0" w:lineRule="exact"/>
    </w:pPr>
    <w:rPr>
      <w:b w:val="0"/>
      <w:bCs w:val="0"/>
      <w:i w:val="0"/>
      <w:iCs w:val="0"/>
      <w:u w:val="none"/>
      <w:strike w:val="0"/>
      <w:smallCaps w:val="0"/>
      <w:sz w:val="17"/>
      <w:szCs w:val="17"/>
      <w:rFonts w:ascii="Tahoma" w:eastAsia="Tahoma" w:hAnsi="Tahoma" w:cs="Tahoma"/>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24">
    <w:name w:val="Основной текст (8)"/>
    <w:basedOn w:val="Normal"/>
    <w:link w:val="CharStyle25"/>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7">
    <w:name w:val="Основной текст (6)"/>
    <w:basedOn w:val="Normal"/>
    <w:link w:val="CharStyle28"/>
    <w:pPr>
      <w:widowControl w:val="0"/>
      <w:shd w:val="clear" w:color="auto" w:fill="FFFFFF"/>
      <w:spacing w:after="4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center"/>
      <w:spacing w:before="4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Штрих-код (2)"/>
    <w:basedOn w:val="Normal"/>
    <w:link w:val="CharStyle3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5">
    <w:name w:val="Заголовок №1 (2)"/>
    <w:basedOn w:val="Normal"/>
    <w:link w:val="CharStyle36"/>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40">
    <w:name w:val="Заголовок №1"/>
    <w:basedOn w:val="Normal"/>
    <w:link w:val="CharStyle41"/>
    <w:pPr>
      <w:widowControl w:val="0"/>
      <w:shd w:val="clear" w:color="auto" w:fill="FFFFFF"/>
      <w:jc w:val="both"/>
      <w:outlineLvl w:val="0"/>
      <w:spacing w:line="322" w:lineRule="exact"/>
      <w:ind w:firstLine="680"/>
    </w:pPr>
    <w:rPr>
      <w:b/>
      <w:bCs/>
      <w:i/>
      <w:iCs/>
      <w:u w:val="none"/>
      <w:strike w:val="0"/>
      <w:smallCaps w:val="0"/>
      <w:sz w:val="26"/>
      <w:szCs w:val="26"/>
      <w:rFonts w:ascii="Times New Roman" w:eastAsia="Times New Roman" w:hAnsi="Times New Roman" w:cs="Times New Roman"/>
    </w:rPr>
  </w:style>
  <w:style w:type="paragraph" w:customStyle="1" w:styleId="Style42">
    <w:name w:val="Основной текст (10)"/>
    <w:basedOn w:val="Normal"/>
    <w:link w:val="CharStyle43"/>
    <w:pPr>
      <w:widowControl w:val="0"/>
      <w:shd w:val="clear" w:color="auto" w:fill="FFFFFF"/>
      <w:jc w:val="both"/>
      <w:spacing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