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0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ФЕДЕРАЛЬНАЯ!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7"/>
          <w:b w:val="0"/>
          <w:bCs w:val="0"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Федеральцо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ti </w:t>
      </w:r>
      <w:r>
        <w:rPr>
          <w:rStyle w:val="CharStyle8"/>
          <w:b w:val="0"/>
          <w:bCs w:val="0"/>
        </w:rPr>
        <w:t>ш</w:t>
      </w:r>
      <w:r>
        <w:rPr>
          <w:lang w:val="en-US" w:eastAsia="en-US" w:bidi="en-US"/>
          <w:w w:val="100"/>
          <w:spacing w:val="0"/>
          <w:color w:val="000000"/>
          <w:position w:val="0"/>
        </w:rPr>
        <w:t>11'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имо</w:t>
      </w:r>
      <w:r>
        <w:rPr>
          <w:lang w:val="en-US" w:eastAsia="en-US" w:bidi="en-US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1 о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к*лы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rStyle w:val="CharStyle8"/>
          <w:b w:val="0"/>
          <w:bCs w:val="0"/>
        </w:rPr>
        <w:t>о</w:t>
      </w:r>
      <w:r>
        <w:rPr>
          <w:rStyle w:val="CharStyle8"/>
          <w:lang w:val="en-US" w:eastAsia="en-US" w:bidi="en-US"/>
          <w:b w:val="0"/>
          <w:bCs w:val="0"/>
        </w:rPr>
        <w:t>i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rStyle w:val="CharStyle9"/>
          <w:b w:val="0"/>
          <w:bCs w:val="0"/>
        </w:rPr>
        <w:t>службы но Хпаты-МамспНскому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6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автономному округу - </w:t>
      </w:r>
      <w:r>
        <w:rPr>
          <w:rStyle w:val="CharStyle12"/>
        </w:rPr>
        <w:t xml:space="preserve">Югре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д. 27, Ханты-Мансийск, 628012 телефон/факс +7 (3467) 38-80-81 </w:t>
      </w:r>
      <w:r>
        <w:rPr>
          <w:rStyle w:val="CharStyle13"/>
        </w:rPr>
        <w:t xml:space="preserve">e-mail: </w:t>
      </w:r>
      <w:r>
        <w:fldChar w:fldCharType="begin"/>
      </w:r>
      <w:r>
        <w:rPr>
          <w:rStyle w:val="CharStyle13"/>
        </w:rPr>
        <w:instrText> HYPERLINK "mailto:lo86@fas.gov.ru" </w:instrText>
      </w:r>
      <w:r>
        <w:fldChar w:fldCharType="separate"/>
      </w:r>
      <w:r>
        <w:rPr>
          <w:rStyle w:val="Hyperlink"/>
        </w:rPr>
        <w:t>lo86@fas.gov.ru</w:t>
      </w:r>
      <w:r>
        <w:fldChar w:fldCharType="end"/>
      </w:r>
      <w:r>
        <w:rPr>
          <w:rStyle w:val="CharStyle13"/>
        </w:rPr>
        <w:t xml:space="preserve">, </w:t>
      </w:r>
      <w:r>
        <w:rPr>
          <w:rStyle w:val="CharStyle13"/>
          <w:lang w:val="ru-RU" w:eastAsia="ru-RU" w:bidi="ru-RU"/>
        </w:rPr>
        <w:t xml:space="preserve">сам г </w:t>
      </w:r>
      <w:r>
        <w:rPr>
          <w:rStyle w:val="CharStyle13"/>
        </w:rPr>
        <w:t xml:space="preserve">hUiO/tmmo,Jas.gov.ru </w:t>
      </w:r>
      <w:r>
        <w:rPr>
          <w:rStyle w:val="CharStyle14"/>
        </w:rPr>
        <w:t>ИНН 8601009316 КПП 860101001 ОГГИ 1028600512093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38" w:line="360" w:lineRule="exact"/>
        <w:ind w:left="2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/</w:t>
      </w:r>
      <w:r>
        <w:rPr>
          <w:rStyle w:val="CharStyle17"/>
          <w:b/>
          <w:bCs/>
          <w:i/>
          <w:iCs/>
        </w:rPr>
        <w:t>»</w:t>
      </w:r>
      <w:r>
        <w:rPr>
          <w:lang w:val="ru-RU" w:eastAsia="ru-RU" w:bidi="ru-RU"/>
          <w:w w:val="100"/>
          <w:color w:val="000000"/>
          <w:position w:val="0"/>
        </w:rPr>
        <w:t xml:space="preserve">: </w:t>
      </w:r>
      <w:r>
        <w:rPr>
          <w:rStyle w:val="CharStyle17"/>
          <w:b/>
          <w:bCs/>
          <w:i/>
          <w:iCs/>
        </w:rPr>
        <w:t>Л</w:t>
      </w:r>
      <w:r>
        <w:rPr>
          <w:lang w:val="ru-RU" w:eastAsia="ru-RU" w:bidi="ru-RU"/>
          <w:w w:val="100"/>
          <w:color w:val="000000"/>
          <w:position w:val="0"/>
        </w:rPr>
        <w:t xml:space="preserve">/. </w:t>
      </w:r>
      <w:r>
        <w:rPr>
          <w:rStyle w:val="CharStyle17"/>
          <w:lang w:val="en-US" w:eastAsia="en-US" w:bidi="en-US"/>
          <w:b/>
          <w:bCs/>
          <w:i/>
          <w:iCs/>
        </w:rPr>
        <w:t>JM/</w:t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rStyle w:val="CharStyle18"/>
          <w:b/>
          <w:bCs/>
          <w:i/>
          <w:iCs/>
        </w:rPr>
        <w:t xml:space="preserve">к, </w:t>
      </w:r>
      <w:r>
        <w:rPr>
          <w:rStyle w:val="CharStyle17"/>
          <w:b/>
          <w:bCs/>
          <w:i/>
          <w:iCs/>
        </w:rPr>
        <w:t>м!</w:t>
      </w:r>
      <w:r>
        <w:rPr>
          <w:lang w:val="en-US" w:eastAsia="en-US" w:bidi="en-US"/>
          <w:w w:val="100"/>
          <w:color w:val="000000"/>
          <w:position w:val="0"/>
        </w:rPr>
        <w:t>If</w:t>
      </w:r>
      <w:r>
        <w:rPr>
          <w:lang w:val="ru-RU" w:eastAsia="ru-RU" w:bidi="ru-RU"/>
          <w:w w:val="100"/>
          <w:color w:val="000000"/>
          <w:position w:val="0"/>
        </w:rPr>
        <w:t>-</w:t>
      </w:r>
      <w:r>
        <w:rPr>
          <w:rStyle w:val="CharStyle17"/>
          <w:b/>
          <w:bCs/>
          <w:i/>
          <w:iCs/>
        </w:rPr>
        <w:t>/</w:t>
      </w:r>
      <w:r>
        <w:rPr>
          <w:lang w:val="ru-RU" w:eastAsia="ru-RU" w:bidi="ru-RU"/>
          <w:w w:val="100"/>
          <w:color w:val="000000"/>
          <w:position w:val="0"/>
        </w:rPr>
        <w:t>9</w:t>
      </w:r>
      <w:r>
        <w:rPr>
          <w:rStyle w:val="CharStyle17"/>
          <w:lang w:val="en-US" w:eastAsia="en-US" w:bidi="en-US"/>
          <w:b/>
          <w:bCs/>
          <w:i/>
          <w:iCs/>
        </w:rPr>
        <w:t>U</w:t>
      </w:r>
      <w:r>
        <w:rPr>
          <w:lang w:val="en-US" w:eastAsia="en-US" w:bidi="en-US"/>
          <w:w w:val="100"/>
          <w:color w:val="000000"/>
          <w:position w:val="0"/>
        </w:rPr>
        <w:t>/</w:t>
      </w:r>
      <w:bookmarkEnd w:id="0"/>
    </w:p>
    <w:p>
      <w:pPr>
        <w:pStyle w:val="Style19"/>
        <w:tabs>
          <w:tab w:leader="none" w:pos="2114" w:val="center"/>
        </w:tabs>
        <w:widowControl w:val="0"/>
        <w:keepNext w:val="0"/>
        <w:keepLines w:val="0"/>
        <w:shd w:val="clear" w:color="auto" w:fill="auto"/>
        <w:bidi w:val="0"/>
        <w:spacing w:before="0" w:after="580" w:line="150" w:lineRule="exact"/>
        <w:ind w:left="60" w:right="0" w:firstLine="0"/>
      </w:pPr>
      <w:r>
        <w:rPr>
          <w:w w:val="100"/>
          <w:spacing w:val="0"/>
          <w:color w:val="000000"/>
          <w:position w:val="0"/>
        </w:rPr>
        <w:t>I la 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от-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6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жалобе №9363-ЭП/21 ИП Гахарии К.Х.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"РТС-тендер"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121151, г. Москва, набережная Тараса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Шевченко, д.23А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(495)7339519, (800) 7755800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3"/>
        </w:rPr>
        <w:instrText> HYPERLINK "mailto:ko@its-tender.ni" </w:instrText>
      </w:r>
      <w:r>
        <w:fldChar w:fldCharType="separate"/>
      </w:r>
      <w:r>
        <w:rPr>
          <w:rStyle w:val="Hyperlink"/>
        </w:rPr>
        <w:t>ko@its-tender.ni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Гахария Кирилл Хвичович 109117, гМосква, ул.Омская, д.8, к.2;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Тел.: +7 (977) 597 62 47;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kgakhariya3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@mail.ru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Бюджетное учреждение Ханты-Мансийского автономного округа - Югры «Сургутская окружная клиническая больница»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628408, ХМАО - Югра, т. Сургут^'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ул.'.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Энергетиков, дом 24, корпус 2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83462 527150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57" w:left="735" w:right="1033" w:bottom="1457" w:header="0" w:footer="3" w:gutter="0"/>
          <w:rtlGutter w:val="0"/>
          <w:cols w:num="2" w:space="720" w:equalWidth="0">
            <w:col w:w="4090" w:space="1133"/>
            <w:col w:w="4915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siu'giitokb@siirgutokb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10" w:line="22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086/06/33-1505/2021</w:t>
      </w:r>
    </w:p>
    <w:p>
      <w:pPr>
        <w:pStyle w:val="Style21"/>
        <w:tabs>
          <w:tab w:leader="none" w:pos="8238" w:val="center"/>
          <w:tab w:leader="none" w:pos="10237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объявлена 29.09.2021</w:t>
        <w:tab/>
        <w:t>г.</w:t>
        <w:tab/>
        <w:t>Ханты-Мансийск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36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Изготовлено в полном объеме 04.10.2021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4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21"/>
        <w:tabs>
          <w:tab w:leader="none" w:pos="9721" w:val="center"/>
          <w:tab w:leader="none" w:pos="9687" w:val="center"/>
          <w:tab w:leader="none" w:pos="10237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-</w:t>
        <w:tab/>
        <w:t>У</w:t>
        <w:tab/>
        <w:t>#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Миронов А.Г. - Заместитель руководителя Управления;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Валиуллин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P.P.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Начальник отдела Управления;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36" w:line="274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Михайлова О.Н. - Эксперт отдела Управления,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Заявителя - не явился, о дате, времени и месте рассмотрения жалобы посредством видеоконференц-связи уведомлены надлежащим образом;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Заказчика - посредством видеоконференц-связи Костина А.А. по доверенности № б/н от 28.09.2021, Пономаренко С.И. по доверенности № б/н от 29.09.2021,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ИП Гахарии Кирилла Хвичовича (ИНН 772353245860 ОГРНИП 321774600432632) от 22.09.2021г. №9363-ЭП/21 на действия Заказчика - Бюджетное учреждение Ханты-Мансийского автономного округа - Югры «Сургутская окружная клиническая больница» при проведении электронного аукциона в электронной форме, предметом которого является поставка стентов для периферических артерий (извещение № 03 87200000921000421),;, и в результате осуществления внеплановой проверки в соответствии с пунктом 1 части 15 статьи 99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работ, услуг для обеспечения государственных и муниципальных нужд" (далее - Закон о контрактной системе),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Ханты-Мансийскому автономному округу - Югре поступила жалоба ИП Гахарии Кирилла Хвичовича (ИНН 772353245860 ОГРНИП 321774600432632) от 22.09.2021г. №9363-ЭП/21, на действия Заказчика, «при проведении электронного аукциона, предметом которого является поставка стентов для периферических артерий (извещение № 0387200000921000421).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6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доводе жалобы Заявитель указал следующее: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8" w:line="274" w:lineRule="exact"/>
        <w:ind w:left="16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16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доводов сторон, материалов дела, Комиссией Управления установлено следующее.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6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довода жалобы Комиссия Управления поясняет следующее.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6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в описании объекта закупки указываются функциональные, технические и качественные .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■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6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Частями 5, 6 статьи 23 Закона о контрактной системе установлено: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5.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21"/>
        <w:tabs>
          <w:tab w:leader="none" w:pos="91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</w:t>
        <w:tab/>
        <w:t>6. Порядок формирования и ведения в единой информационной системе каталога товаров,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4 Правил использования каталога заказчики обязаны применять информацию, включенную в позицию каталога в соответствии с подпунктами «б» - «г», «е»-«з» пункта 10 Правил формирования и ведения в единой информационной системе в сфере закупок каталога, утвержденных постановлением Правительства Российской Федерации от 08.02.2017 № 145 (далее - Правила).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Формирование и ведение Каталога ТРУ (или КТРУ) осуществляется на официальном сайте Единой Информационной Системы (ЕИС) федеральным органом исполнительной власти по регулированию контрактной системы в сфере закупок, таким органом в настоящее время является Министерство финансов Российской Федерации (Минфин).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6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письме Министерства финансов Российской Федерации от 15 мая 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24-06- 07/40220 указано что каталог является инструментом описания заказчиком унифицированного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объекта закупки в соответствии с правилами, установленными статьей 33 Закона о контрактной, системе, а также требованиями к закупаемым заказчиком товарам, работам, услугам. </w:t>
      </w:r>
      <w:r>
        <w:rPr>
          <w:rStyle w:val="CharStyle29"/>
        </w:rPr>
        <w:t xml:space="preserve">Щ- ё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Заказчик, с учетом положений, содержащихся в статье 33 Закона о контрактной системе, вправе включить в документацию об аукционе такие товары и требования к товару, их технические и функциональные характеристики, которые отвечают его потребностям и необходимы для выполнения им соответствующих функций.</w:t>
      </w:r>
    </w:p>
    <w:p>
      <w:pPr>
        <w:pStyle w:val="Style21"/>
        <w:tabs>
          <w:tab w:leader="none" w:pos="950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своими потребностями заказчик установил в соответствии с позиций К ТРУ 32.50.50.000-00118 требования к функциональным, техническим и качественным характеристикам объекта закупки, с учетом специфики его деятельности, и наиболее отвечающим его потребностям необходимым для выполнения соответствующих своих функций.:</w:t>
        <w:tab/>
      </w:r>
      <w:r>
        <w:rPr>
          <w:rStyle w:val="CharStyle29"/>
        </w:rPr>
        <w:t>'</w:t>
      </w:r>
      <w:r>
        <w:rPr>
          <w:rStyle w:val="CharStyle29"/>
          <w:lang w:val="en-US" w:eastAsia="en-US" w:bidi="en-US"/>
        </w:rPr>
        <w:t>f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3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имеющихся характеристик указанной позиции во вкладке «описание товаров, работ, услуг» указаны все возможные к выбору значения указанных характеристик. Согласно информации о позиции КТРУ № 32.50.50.000- 00118 от 23.07.2019 (во вкладке «вложения»):</w:t>
      </w:r>
    </w:p>
    <w:p>
      <w:pPr>
        <w:pStyle w:val="Style30"/>
        <w:framePr w:w="1026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Х^актеристжи товара, работы,_услуги</w:t>
      </w:r>
    </w:p>
    <w:tbl>
      <w:tblPr>
        <w:tblOverlap w:val="never"/>
        <w:tblLayout w:type="fixed"/>
        <w:jc w:val="center"/>
      </w:tblPr>
      <w:tblGrid>
        <w:gridCol w:w="2438"/>
        <w:gridCol w:w="3547"/>
        <w:gridCol w:w="2131"/>
        <w:gridCol w:w="2146"/>
      </w:tblGrid>
      <w:tr>
        <w:trPr>
          <w:trHeight w:val="8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20" w:lineRule="exact"/>
              <w:ind w:left="0" w:right="0" w:firstLine="0"/>
            </w:pPr>
            <w:r>
              <w:rPr>
                <w:rStyle w:val="CharStyle32"/>
              </w:rPr>
              <w:t>Наименование</w:t>
            </w:r>
          </w:p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32"/>
              </w:rPr>
              <w:t>характеристики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020" w:right="0" w:firstLine="0"/>
            </w:pPr>
            <w:r>
              <w:rPr>
                <w:rStyle w:val="CharStyle32"/>
              </w:rPr>
              <w:t>Вид характеристики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20" w:lineRule="exact"/>
              <w:ind w:left="0" w:right="0" w:firstLine="0"/>
            </w:pPr>
            <w:r>
              <w:rPr>
                <w:rStyle w:val="CharStyle32"/>
              </w:rPr>
              <w:t>Значение</w:t>
            </w:r>
          </w:p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120" w:after="0" w:line="220" w:lineRule="exact"/>
              <w:ind w:left="0" w:right="280" w:firstLine="0"/>
            </w:pPr>
            <w:r>
              <w:rPr>
                <w:rStyle w:val="CharStyle32"/>
              </w:rPr>
              <w:t>характеристики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2"/>
              </w:rPr>
              <w:t>Единица</w:t>
            </w:r>
          </w:p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2"/>
              </w:rPr>
              <w:t>измерения</w:t>
            </w:r>
          </w:p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2"/>
              </w:rPr>
              <w:t>характеристики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Тип ячейки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180" w:firstLine="0"/>
            </w:pPr>
            <w:r>
              <w:rPr>
                <w:rStyle w:val="CharStyle32"/>
              </w:rPr>
              <w:t>Неизменяемая заказчиком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620" w:firstLine="0"/>
            </w:pPr>
            <w:r>
              <w:rPr>
                <w:rStyle w:val="CharStyle32"/>
              </w:rPr>
              <w:t>Закрытая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Способ раскрытия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180" w:firstLine="0"/>
            </w:pPr>
            <w:r>
              <w:rPr>
                <w:rStyle w:val="CharStyle32"/>
              </w:rPr>
              <w:t>Неизменяемая заказчиком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Саморасширяемые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379" w:lineRule="exact"/>
              <w:ind w:left="0" w:right="0" w:firstLine="0"/>
            </w:pPr>
            <w:r>
              <w:rPr>
                <w:rStyle w:val="CharStyle32"/>
              </w:rPr>
              <w:t>Номинальный диаметр стента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/>
              <w:ind w:left="0" w:right="0" w:firstLine="0"/>
            </w:pPr>
            <w:r>
              <w:rPr>
                <w:rStyle w:val="CharStyle32"/>
              </w:rPr>
              <w:t>Изменяемая заказчиком (выбор одного)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9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10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8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11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.Миллиметр</w:t>
            </w:r>
          </w:p>
        </w:tc>
      </w:tr>
      <w:tr>
        <w:trPr>
          <w:trHeight w:val="384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13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14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9" w:lineRule="exact"/>
              <w:ind w:left="0" w:right="0" w:firstLine="0"/>
            </w:pPr>
            <w:r>
              <w:rPr>
                <w:rStyle w:val="CharStyle32"/>
              </w:rPr>
              <w:t>Длина системы достав</w:t>
              <w:softHyphen/>
              <w:t>ки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64" w:lineRule="exact"/>
              <w:ind w:left="0" w:right="0" w:firstLine="0"/>
            </w:pPr>
            <w:r>
              <w:rPr>
                <w:rStyle w:val="CharStyle32"/>
              </w:rPr>
              <w:t>Изменяемая заказчиком (выбор одного)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&gt; 70 и &lt; 90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Сантиметр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80" w:firstLine="0"/>
            </w:pPr>
            <w:r>
              <w:rPr>
                <w:rStyle w:val="CharStyle32"/>
              </w:rPr>
              <w:t>&gt; 90 и &lt; 105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Сантиметр</w:t>
            </w:r>
          </w:p>
        </w:tc>
      </w:tr>
      <w:tr>
        <w:trPr>
          <w:trHeight w:val="566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160" w:firstLine="0"/>
            </w:pPr>
            <w:r>
              <w:rPr>
                <w:rStyle w:val="CharStyle32"/>
              </w:rPr>
              <w:t xml:space="preserve">&gt; 105 и </w:t>
            </w:r>
            <w:r>
              <w:rPr>
                <w:rStyle w:val="CharStyle32"/>
                <w:lang w:val="en-US" w:eastAsia="en-US" w:bidi="en-US"/>
              </w:rPr>
              <w:t xml:space="preserve">S </w:t>
            </w:r>
            <w:r>
              <w:rPr>
                <w:rStyle w:val="CharStyle32"/>
              </w:rPr>
              <w:t>120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Сантиметр"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80" w:firstLine="0"/>
            </w:pPr>
            <w:r>
              <w:rPr>
                <w:rStyle w:val="CharStyle32"/>
              </w:rPr>
              <w:t>? 120 и « 135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Сантиметр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80" w:firstLine="0"/>
            </w:pPr>
            <w:r>
              <w:rPr>
                <w:rStyle w:val="CharStyle32"/>
              </w:rPr>
              <w:t>? 135 и &lt; 150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Сантиметр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МРТ совместимость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/>
              <w:ind w:left="0" w:right="0" w:firstLine="0"/>
            </w:pPr>
            <w:r>
              <w:rPr>
                <w:rStyle w:val="CharStyle32"/>
              </w:rPr>
              <w:t>Изменяемая заказчиком (выбор одного)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Да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620" w:firstLine="0"/>
            </w:pPr>
            <w:r>
              <w:rPr>
                <w:rStyle w:val="CharStyle32"/>
              </w:rPr>
              <w:t>Не важно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102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620" w:firstLine="0"/>
            </w:pPr>
            <w:r>
              <w:rPr>
                <w:rStyle w:val="CharStyle32"/>
              </w:rPr>
              <w:t>10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. 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10 и &lt; 20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8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2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20 и &lt;30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102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</w:tbl>
    <w:p>
      <w:pPr>
        <w:widowControl w:val="0"/>
        <w:rPr>
          <w:sz w:val="2"/>
          <w:szCs w:val="2"/>
        </w:rPr>
      </w:pPr>
      <w:r>
        <w:br w:type="page"/>
      </w:r>
    </w:p>
    <w:tbl>
      <w:tblPr>
        <w:tblOverlap w:val="never"/>
        <w:tblLayout w:type="fixed"/>
        <w:jc w:val="left"/>
      </w:tblPr>
      <w:tblGrid>
        <w:gridCol w:w="2141"/>
        <w:gridCol w:w="2150"/>
      </w:tblGrid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  <w:vertAlign w:val="superscript"/>
              </w:rPr>
              <w:t>л</w:t>
            </w:r>
            <w:r>
              <w:rPr>
                <w:rStyle w:val="CharStyle32"/>
              </w:rPr>
              <w:t xml:space="preserve"> 30 и &lt; 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&gt; 40 и &lt; 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  <w:vertAlign w:val="superscript"/>
              </w:rPr>
              <w:t>л</w:t>
            </w:r>
            <w:r>
              <w:rPr>
                <w:rStyle w:val="CharStyle32"/>
              </w:rPr>
              <w:t xml:space="preserve"> 50 и </w:t>
            </w:r>
            <w:r>
              <w:rPr>
                <w:rStyle w:val="CharStyle32"/>
                <w:vertAlign w:val="superscript"/>
              </w:rPr>
              <w:t>л</w:t>
            </w:r>
            <w:r>
              <w:rPr>
                <w:rStyle w:val="CharStyle32"/>
              </w:rPr>
              <w:t xml:space="preserve"> 60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60 и * 70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70 и * 80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80 и &lt; 90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 xml:space="preserve">? 90 и </w:t>
            </w:r>
            <w:r>
              <w:rPr>
                <w:rStyle w:val="CharStyle32"/>
                <w:vertAlign w:val="superscript"/>
              </w:rPr>
              <w:t>л</w:t>
            </w:r>
            <w:r>
              <w:rPr>
                <w:rStyle w:val="CharStyle32"/>
              </w:rPr>
              <w:t xml:space="preserve"> 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 xml:space="preserve">&gt; 100 и </w:t>
            </w:r>
            <w:r>
              <w:rPr>
                <w:rStyle w:val="CharStyle32"/>
                <w:lang w:val="en-US" w:eastAsia="en-US" w:bidi="en-US"/>
              </w:rPr>
              <w:t xml:space="preserve">S </w:t>
            </w:r>
            <w:r>
              <w:rPr>
                <w:rStyle w:val="CharStyle32"/>
              </w:rPr>
              <w:t>110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110 и « 120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 xml:space="preserve">&gt;120 и </w:t>
            </w:r>
            <w:r>
              <w:rPr>
                <w:rStyle w:val="CharStyle32"/>
                <w:vertAlign w:val="superscript"/>
              </w:rPr>
              <w:t>л</w:t>
            </w:r>
            <w:r>
              <w:rPr>
                <w:rStyle w:val="CharStyle32"/>
              </w:rPr>
              <w:t xml:space="preserve"> 130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&gt;130 и &lt; 140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? 140 и &lt; 150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£ 150 и &lt; 160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&gt; 160 и « 170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Я70 и &lt; 180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 xml:space="preserve">&gt; 180 и </w:t>
            </w:r>
            <w:r>
              <w:rPr>
                <w:rStyle w:val="CharStyle32"/>
                <w:vertAlign w:val="superscript"/>
              </w:rPr>
              <w:t>л</w:t>
            </w:r>
            <w:r>
              <w:rPr>
                <w:rStyle w:val="CharStyle32"/>
              </w:rPr>
              <w:t xml:space="preserve"> 190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  <w:tr>
        <w:trPr>
          <w:trHeight w:val="39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&gt; 190 и &lt; 200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1"/>
              <w:framePr w:w="4291" w:h="6350" w:hSpace="4191" w:wrap="notBeside" w:vAnchor="text" w:hAnchor="text" w:x="9568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Миллиметр</w:t>
            </w:r>
          </w:p>
        </w:tc>
      </w:tr>
    </w:tbl>
    <w:p>
      <w:pPr>
        <w:pStyle w:val="Style30"/>
        <w:framePr w:w="3178" w:h="557" w:wrap="notBeside" w:vAnchor="text" w:hAnchor="text" w:x="6246" w:y="224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Изменяемая заказчиком (выбор одного)</w:t>
      </w:r>
    </w:p>
    <w:p>
      <w:pPr>
        <w:widowControl w:val="0"/>
        <w:rPr>
          <w:sz w:val="2"/>
          <w:szCs w:val="2"/>
        </w:rPr>
      </w:pPr>
    </w:p>
    <w:p>
      <w:pPr>
        <w:pStyle w:val="Style21"/>
        <w:framePr w:h="215" w:wrap="around" w:hAnchor="margin" w:x="255" w:y="230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60" w:right="0" w:firstLine="0"/>
      </w:pPr>
      <w:r>
        <w:rPr>
          <w:rStyle w:val="CharStyle24"/>
          <w:spacing w:val="0"/>
        </w:rPr>
        <w:t>Общая длина стента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вышеизложенное, Заказчиком указаны значения, наиболее отвечающие его потребностям.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предоставления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Требований к форме и содержанию обоснования включения дополнительных характеристик в описание объекта закупки действующее законодательство не содержит.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 (Техническое задание Раздел II документации об аукционе в электронной форме) содержит обоснование включения дополнительных характеристик.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статьи 37 Федерального Закона от 21.11.2011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323-ФЗ "Об основах охраны здоровья граждан в Российской Федерации" (далее - «Закон №323-Ф3») медицинская помощь организуется и оказывается в соответствии с порядками оказания медицинской помощи, /обязательными для исполнения на территории Российской Федерации всеми медицинскими организациями.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является медицинской организацией, в своей деятельности он руководствуется принципами охраны здоровья, закрепленными Законом № 323-ФЗ. Одним из таких принципов является качество медицинской помощи.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качеством медицинской помощи данный нормативный правовой акт определяет совокупность характеристик, отражающих своевременность оказания медицинской помощи, правильность выбора методов профилактики, диагностики, лечения и реабилитации при оказании ‘ медицинской помощи, степень достижения запланированного результата.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законодатель обозначил приоритет ориентации медицинских организаций, в первую очередь, на качество оказываемых услуг.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8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пояснениям Заказчика периферический стент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Siipera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предназначен для интервенционных эдоваскулярных операций пациентам с атеросклеротическим поражением артерий нижних конечностей. А именно - поражение бедренно-подколенного сегмента. Учитывая высокие свойства, стента, такие как радиальная устойчивость, высокие показатели скручиваемостп стента, отсутствие переломов стента и высокие показатели проходимости в</w:t>
        <w:br w:type="page"/>
        <w:t>отдаленном периоде, данный вид продукта является лучшим выбором лечения пациентов с атеросклеротическим поражением артериального русла в бедренно-подколенном сегменте.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письмом ООО «Эбботт Лабораториз» исх.№1/14/06/2019 от 14.06.2019г. компания осуществила перевод маркировки периферического стента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Sup era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внутреннего* диаметра на внешний.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Поэтому утверждение Заявителя жалобы о несоответствии ни одного стента, разрешенного к использованию Федеральной службой по надзору в сфере здравоохранения описанию в позиций 1-2, является несостоятельной.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Положения Закона о контрактной системе не обязывают Заказчика при определении требований поставляемого товара в документации об электронном аукционе устанавливать такие характеристики и требования, которые соответствовали бы всем существующим типам, вицам/ товара. Отсутствие у участника необходимой Заказчику продукции (в т.ч. возможности ее приобретения у официальных представителей) на определенный момент времени не является основанием для констатации факта ограничения конкуренции и не означает ограничение количества участников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осуществлении закупок должен соблюдаться не только принцип обеспечения конкуренции, но и принципы эффективности осуществления закупки и ответственности за результативность обеспечения нужд учреждения. Исходя из этого требования к закупаемым товарам должны быть определены таким образом, чтобы, с одной стороны, повысить шансы на приобретение товара именно с теми характеристиками, которые необходимы заказчику, а с другой стороны, необоснованно не ограничить количество участников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Соответственно, действия Заказчика не могут рассматриваться как ограничение потенциального круга участников закупки и нарушение Федерального Закона о контрактной системе.</w:t>
      </w:r>
    </w:p>
    <w:p>
      <w:pPr>
        <w:pStyle w:val="Style21"/>
        <w:tabs>
          <w:tab w:leader="none" w:pos="10307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требований о поставке товара с конкретным товарным знаком, также как и требований о возможности участия в закупке только производителей товара в документации об. электронном аукционе нет</w:t>
        <w:tab/>
        <w:t>У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на дату' и время окончания срока подачи заявок на участие в электронном аукционе было подано три заявки: 110553158 (страна происхождения товара: США), 110554004 (страна происхождения товара: США), 110560912 (страна происхождения товара: Польша).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Единая комиссия Заказчика рассмотрела первые части заявок на участие в электронном аукционе в порядке, установленном статьей 67 Закона, о контрактной системе, на. соответствие требованиям, установленным в документации об аукционе, и приняла решение о их соответствии установленным требованиям и о признании их участниками электронного аукциона.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вышеизложенного довод Заявителя является необоснованным, иное не доказано! </w:t>
      </w:r>
      <w:r>
        <w:rPr>
          <w:rStyle w:val="CharStyle29"/>
          <w:lang w:val="en-US" w:eastAsia="en-US" w:bidi="en-US"/>
        </w:rPr>
        <w:t>f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ИП Гахарии Кирилла Хвичовича (ИНН 772353245860 ОГРНИП 321774600432632) от 22.09.2021г. №9363-ЭП/21 рассмотрена Комиссией Управления в соответствии с требованиями Закона о контрактной системе и Административного регламента ФАС России от 19 ноября 2014 №727/14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должностного:;: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283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33"/>
        <w:widowControl w:val="0"/>
        <w:keepNext/>
        <w:keepLines/>
        <w:shd w:val="clear" w:color="auto" w:fill="auto"/>
        <w:bidi w:val="0"/>
        <w:spacing w:before="0" w:after="211" w:line="220" w:lineRule="exact"/>
        <w:ind w:left="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21"/>
        <w:numPr>
          <w:ilvl w:val="0"/>
          <w:numId w:val="3"/>
        </w:numPr>
        <w:tabs>
          <w:tab w:leader="none" w:pos="108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ИП Гахарии Кирилла Хвичовича (ИНН 772353245860 ОГРНИП 321774600432632) от 22.09.2021г. №9363-ЭП/21 на действия Заказчика - Бюджетное учреждение</w:t>
      </w:r>
    </w:p>
    <w:p>
      <w:pPr>
        <w:pStyle w:val="Style21"/>
        <w:tabs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Ханты-Мансийского автономного округа - Югры «Сургутская окружная клиническая больница» при проведении электронного аукциона в электронной форме, предметом которого является поставка стентов для периферических артерий (извещение №</w:t>
        <w:tab/>
        <w:t>0387200000921000421)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необоснованной.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Обязательное для исполнения предписание не выдавать.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827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29"/>
        </w:rPr>
        <w:t>(</w:t>
      </w:r>
      <w:r>
        <w:rPr>
          <w:rStyle w:val="CharStyle23"/>
        </w:rPr>
        <w:t>w\w.zakiipki</w:t>
      </w:r>
      <w:r>
        <w:rPr>
          <w:rStyle w:val="CharStyle23"/>
          <w:lang w:val="ru-RU" w:eastAsia="ru-RU" w:bidi="ru-RU"/>
        </w:rPr>
        <w:t>.</w:t>
      </w:r>
      <w:r>
        <w:rPr>
          <w:rStyle w:val="CharStyle23"/>
        </w:rPr>
        <w:t>gov.ru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55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980" w:left="752" w:right="618" w:bottom="14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7"/>
      <w:szCs w:val="17"/>
      <w:rFonts w:ascii="Candara" w:eastAsia="Candara" w:hAnsi="Candara" w:cs="Candara"/>
    </w:rPr>
  </w:style>
  <w:style w:type="character" w:customStyle="1" w:styleId="CharStyle7">
    <w:name w:val="Основной текст (3) + Times New Roman,9 pt,Не полужирный,Интервал 0 pt"/>
    <w:basedOn w:val="CharStyle6"/>
    <w:rPr>
      <w:lang w:val="ru-RU" w:eastAsia="ru-RU" w:bidi="ru-RU"/>
      <w:b/>
      <w:bCs/>
      <w:sz w:val="18"/>
      <w:szCs w:val="18"/>
      <w:rFonts w:ascii="Times New Roman" w:eastAsia="Times New Roman" w:hAnsi="Times New Roman" w:cs="Times New Roman"/>
      <w:w w:val="100"/>
      <w:spacing w:val="10"/>
      <w:color w:val="000000"/>
      <w:position w:val="0"/>
    </w:rPr>
  </w:style>
  <w:style w:type="character" w:customStyle="1" w:styleId="CharStyle8">
    <w:name w:val="Основной текст (3) + 9 pt,Не полужирный,Курсив"/>
    <w:basedOn w:val="CharStyle6"/>
    <w:rPr>
      <w:lang w:val="ru-RU" w:eastAsia="ru-RU" w:bidi="ru-RU"/>
      <w:b/>
      <w:bCs/>
      <w:i/>
      <w:iCs/>
      <w:sz w:val="18"/>
      <w:szCs w:val="18"/>
      <w:w w:val="100"/>
      <w:spacing w:val="0"/>
      <w:color w:val="000000"/>
      <w:position w:val="0"/>
    </w:rPr>
  </w:style>
  <w:style w:type="character" w:customStyle="1" w:styleId="CharStyle9">
    <w:name w:val="Основной текст (3) + Times New Roman,Не полужирный"/>
    <w:basedOn w:val="CharStyle6"/>
    <w:rPr>
      <w:lang w:val="ru-RU" w:eastAsia="ru-RU" w:bidi="ru-RU"/>
      <w:b/>
      <w:b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4) + 11 pt,Полужирный"/>
    <w:basedOn w:val="CharStyle11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3">
    <w:name w:val="Основной текст (4) + 7 pt"/>
    <w:basedOn w:val="CharStyle11"/>
    <w:rPr>
      <w:lang w:val="en-US" w:eastAsia="en-US" w:bidi="en-US"/>
      <w:sz w:val="14"/>
      <w:szCs w:val="14"/>
      <w:w w:val="100"/>
      <w:spacing w:val="0"/>
      <w:color w:val="000000"/>
      <w:position w:val="0"/>
    </w:rPr>
  </w:style>
  <w:style w:type="character" w:customStyle="1" w:styleId="CharStyle14">
    <w:name w:val="Основной текст (4) + 7 pt"/>
    <w:basedOn w:val="CharStyle11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character" w:customStyle="1" w:styleId="CharStyle17">
    <w:name w:val="Заголовок №1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Заголовок №1 + 11 pt,Интервал 11 pt"/>
    <w:basedOn w:val="CharStyle16"/>
    <w:rPr>
      <w:lang w:val="ru-RU" w:eastAsia="ru-RU" w:bidi="ru-RU"/>
      <w:sz w:val="22"/>
      <w:szCs w:val="22"/>
      <w:w w:val="100"/>
      <w:spacing w:val="23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Candara" w:eastAsia="Candara" w:hAnsi="Candara" w:cs="Candara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2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8">
    <w:name w:val="Основной текст (7)_"/>
    <w:basedOn w:val="DefaultParagraphFont"/>
    <w:link w:val="Style2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9">
    <w:name w:val="Основной текст + Полужирный,Курсив,Интервал 11 pt"/>
    <w:basedOn w:val="CharStyle22"/>
    <w:rPr>
      <w:lang w:val="ru-RU" w:eastAsia="ru-RU" w:bidi="ru-RU"/>
      <w:b/>
      <w:bCs/>
      <w:i/>
      <w:iCs/>
      <w:w w:val="100"/>
      <w:spacing w:val="230"/>
      <w:color w:val="000000"/>
      <w:position w:val="0"/>
    </w:rPr>
  </w:style>
  <w:style w:type="character" w:customStyle="1" w:styleId="CharStyle31">
    <w:name w:val="Подпись к таблице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2">
    <w:name w:val="Основной текст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Заголовок №2_"/>
    <w:basedOn w:val="DefaultParagraphFont"/>
    <w:link w:val="Style3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35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Candara" w:eastAsia="Candara" w:hAnsi="Candara" w:cs="Candara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after="120" w:line="23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120" w:after="300" w:line="0" w:lineRule="exact"/>
    </w:pPr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0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both"/>
      <w:spacing w:before="300" w:after="6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Candara" w:eastAsia="Candara" w:hAnsi="Candara" w:cs="Candara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jc w:val="both"/>
      <w:spacing w:before="660"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center"/>
      <w:spacing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3">
    <w:name w:val="Заголовок №2"/>
    <w:basedOn w:val="Normal"/>
    <w:link w:val="CharStyle34"/>
    <w:pPr>
      <w:widowControl w:val="0"/>
      <w:shd w:val="clear" w:color="auto" w:fill="FFFFFF"/>
      <w:jc w:val="center"/>
      <w:outlineLvl w:val="1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