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22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ПВТ №9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55" w:line="278" w:lineRule="exact"/>
        <w:ind w:left="5420" w:right="8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Вилиса Лациса ул., д. 2, г. Москва, 125480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9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«Тандем»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59" w:line="283" w:lineRule="exact"/>
        <w:ind w:left="54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Дружинников, д. 10, оф. 305, г. Воронеж, Воронежская обл., 394026, Воронеж, улица Дружинников, дом 10, офис 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4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69" w:line="283" w:lineRule="exact"/>
        <w:ind w:left="54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Кожевническая, д. 14, стр. 5, г. Москва, 115114</w:t>
      </w:r>
    </w:p>
    <w:p>
      <w:pPr>
        <w:pStyle w:val="Style7"/>
        <w:tabs>
          <w:tab w:leader="none" w:pos="903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№077/06/106-11899/2021 по результатам проведенной внеплановой проверки 13.07.2021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требований пп. «б» п. 2 ч. 3 ст.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 соответствии с Письмом ФАС России от 19.10.2018 № ИА/84476/18 проведена внеплановая проверка действий ГБУ ПВТ №9 (далее — Заказчик) при проведении электронного аукциона на право заключения государственного контракта на поставку чулочно-носочных изделий (Закупка № 0373200069121000012) (далее — электронный аукцион, аукцион) по доводам, изложенным в жалобе ООО «Тандем».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по контролю в сфере закупок товаров, работ, услуг Управления Федеральной антимонопольной службы по г. Москве (далее - Комиссия Управления) в составе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А.С. Леонтьевой,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</w:t>
      </w:r>
    </w:p>
    <w:p>
      <w:pPr>
        <w:pStyle w:val="Style5"/>
        <w:tabs>
          <w:tab w:leader="none" w:pos="68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3"/>
        <w:framePr w:w="1685" w:h="394" w:wrap="around" w:vAnchor="text" w:hAnchor="margin" w:x="452" w:y="195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001341609677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ПВТ №9: С.В. Бутко (доверенность № б/н от 09.07.2021),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«Тандем», о времени и порядке заседания Комиссии уведомленных письмом Московского УФАС России исх. № ЕИ/40343/21 от 08.07.2021.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ООО «Тандем» (вх. № 56124-ЭП/21 от 07.07.2021) на действия ГБУ ПВТ №9 при проведении вышеуказанного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указанная жалоба отозвана Заявителем в соответствии с ч.15 ст.105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Письмом ФАС России от 19.10.2018 № ИА/84476/18 установлено, что в случае если в жалобе содержатся указания на действия (бездействие) Заказчика, содержащие признаки нарушения законодательства о контрактной системе ФАС России (территориальный орган) обязан провести внеплановую проверку, предусмотренную пп. «б» п. 2 ч. 3 ст. 99 Закон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доводах жалобы Заявитель указывает, что Заказчиком установлены неправомерные требования к товарам, вводящие участников закупки в заблуждение и препятствующие корректному формированию и подаче заявки на участие в закупке, так например:</w:t>
      </w:r>
    </w:p>
    <w:p>
      <w:pPr>
        <w:pStyle w:val="Style5"/>
        <w:numPr>
          <w:ilvl w:val="0"/>
          <w:numId w:val="1"/>
        </w:numPr>
        <w:tabs>
          <w:tab w:leader="none" w:pos="7311" w:val="left"/>
          <w:tab w:leader="none" w:pos="91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п. «Легинсы (рейтузы) женские: Массовая доля основного сырья (волокна) в составе ткани/трикотажного полотна:</w:t>
        <w:tab/>
        <w:t>Равно 100</w:t>
        <w:tab/>
        <w:t>%; Тип</w:t>
      </w:r>
    </w:p>
    <w:p>
      <w:pPr>
        <w:pStyle w:val="Style5"/>
        <w:tabs>
          <w:tab w:leader="none" w:pos="419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ткани/трикотажного полотна:</w:t>
        <w:tab/>
        <w:t>Смесовая», что является противоречивыми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сведениями, поскольку при массовой доли основного сырья, равняющейся 100%, тип полотна не может быть смесовым;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п. «Колготы женские: Вид дополнительного сырья (волокна) в составе ткани/трикотажного полотна: Хлопок; Полиуретан; Полиэфир; Шерсть; Вискоза; Полиамид; Триацетат; Ацетат; Мохер; Поливинилхлорид; Лен; Шелк; Массовая доля дополнительного сырья (волокна) в составе ткани/трикотажного полотна: : &gt;= 30 &lt; 40 %; &gt;= 10 &lt; 20 %; &gt;= 40 &lt; 50 %; &gt;= 0 &lt; 10 %; &gt;= 20 &lt; 30 %», поскольку не представляется возможным представить корректные значения по вышеуказанным параметрам в отсутствие инструкции;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п. «Носки женские: Вид дополнительного сырья (волокна) в составе ткани/трикотажного полотна: Полиамид; Вид основного сырья (волокна) в составе ткани/трикотажного полотна: Хлопок; Массовая доля дополнительного сырья (волокна) в составе ткани/трикотажного полотна: &gt;= 10 &lt; 20 %; Массовая доля основного сырья (волокна) в составе ткани/трикотажного полотна: Равно 80 %», поскольку не представляется возможным указать достоверное значение массовой доли, равняющейся 100%;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п. «Носки мужские: Вид дополнительного сырья (волокна) в составе ткани/трикотажного полотна: Полиамид; Вид основного сырья (волокна) в составе ткани/трикотажного полотна: Хлопок; Массовая доля дополнительного сырья (волокна) в составе ткани/трикотажного полотна: &gt;= 10 &lt; 20 %; Массовая доля основного сырья (волокна) в составе ткани/трикотажного полотна: Больше или равно 80 %; Тип ткани/трикотажного полотна: Натуральная», поскольку исходя из установленных требований не представляется возможным определить Заказчику требуется натуральная ткань или с добавлением полиамида.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п.1,2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содержать,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контракта,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ч.2 ст.33 Закона о контрактной системе документация, о закупке в соответствии с требованиями, указанными в ч.1 ст.33 Закона о контрактной системе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согласился с указанными доводами жалобы в отношении установления неправомерных требований к товарам по п. «Легинсы (рейтузы) женские»; п.«Колготы женские».</w:t>
      </w:r>
    </w:p>
    <w:p>
      <w:pPr>
        <w:pStyle w:val="Style5"/>
        <w:tabs>
          <w:tab w:leader="none" w:pos="3307" w:val="left"/>
          <w:tab w:leader="none" w:pos="6518" w:val="left"/>
          <w:tab w:leader="none" w:pos="1012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отношении товаров по п. «Носки женские», п. «Носки мужские» представитель</w:t>
        <w:tab/>
        <w:t>затруднился обосновать</w:t>
        <w:tab/>
        <w:t>необходимость</w:t>
        <w:tab/>
        <w:t>установления</w:t>
      </w:r>
    </w:p>
    <w:p>
      <w:pPr>
        <w:pStyle w:val="Style5"/>
        <w:tabs>
          <w:tab w:leader="none" w:pos="1973" w:val="left"/>
          <w:tab w:leader="none" w:pos="3219" w:val="left"/>
          <w:tab w:leader="none" w:pos="6614" w:val="left"/>
          <w:tab w:leader="none" w:pos="8376" w:val="right"/>
          <w:tab w:leader="none" w:pos="1012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требований к</w:t>
        <w:tab/>
        <w:t>товарам</w:t>
        <w:tab/>
        <w:t>вышеуказанный образом,</w:t>
        <w:tab/>
        <w:t>а также</w:t>
        <w:tab/>
        <w:t>не</w:t>
        <w:tab/>
        <w:t>представлено</w:t>
      </w:r>
    </w:p>
    <w:p>
      <w:pPr>
        <w:pStyle w:val="Style5"/>
        <w:tabs>
          <w:tab w:leader="none" w:pos="1959" w:val="left"/>
          <w:tab w:leader="none" w:pos="3312" w:val="left"/>
          <w:tab w:leader="none" w:pos="837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документов и</w:t>
        <w:tab/>
        <w:t>сведений,</w:t>
        <w:tab/>
        <w:t>свидетельствующих о возможности</w:t>
        <w:tab/>
        <w:t>представления 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составе заявки достоверных значений показателей.</w:t>
      </w:r>
    </w:p>
    <w:p>
      <w:pPr>
        <w:pStyle w:val="Style5"/>
        <w:tabs>
          <w:tab w:leader="none" w:pos="1959" w:val="left"/>
          <w:tab w:leader="none" w:pos="3219" w:val="left"/>
          <w:tab w:leader="none" w:pos="6495" w:val="left"/>
          <w:tab w:leader="none" w:pos="10128" w:val="right"/>
          <w:tab w:leader="none" w:pos="1016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</w:t>
        <w:tab/>
        <w:t>образом,</w:t>
        <w:tab/>
        <w:t>Комиссия Управления</w:t>
        <w:tab/>
        <w:t>приходит</w:t>
        <w:tab/>
        <w:t>к</w:t>
        <w:tab/>
        <w:t>выводу об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обсонованности указанных доводов жалобы и нарушении Заказчиком положений п.1 ч.1 ст.33, п.1 ч.1 ст.64 Закона о контрактной системе, что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89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299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в действиях Заказчика нарушение п.1 ч.1 ст.64, п.1 ч.1 ст.33 Закона о контрактной системе.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6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52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8910" w:val="center"/>
          <w:tab w:leader="none" w:pos="1012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3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5"/>
        <w:tabs>
          <w:tab w:leader="none" w:pos="8511" w:val="center"/>
          <w:tab w:leader="none" w:pos="1012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3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А.С.</w:t>
        <w:tab/>
        <w:t>Леонтьева</w:t>
      </w:r>
    </w:p>
    <w:p>
      <w:pPr>
        <w:pStyle w:val="Style5"/>
        <w:tabs>
          <w:tab w:leader="none" w:pos="93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21" w:line="432" w:lineRule="exact"/>
        <w:ind w:left="8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75" w:left="807" w:right="783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300" w:line="322" w:lineRule="exact"/>
      <w:ind w:firstLine="436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6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before="6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