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40" w:h="2350" w:wrap="around" w:hAnchor="margin" w:x="320" w:y="1117"/>
        <w:widowControl w:val="0"/>
        <w:keepNext w:val="0"/>
        <w:keepLines w:val="0"/>
        <w:shd w:val="clear" w:color="auto" w:fill="auto"/>
        <w:bidi w:val="0"/>
        <w:spacing w:before="0" w:after="180"/>
        <w:ind w:left="0" w:right="0" w:firstLine="0"/>
      </w:pPr>
      <w:r>
        <w:rPr>
          <w:rStyle w:val="CharStyle4"/>
          <w:b/>
          <w:bCs/>
          <w:spacing w:val="0"/>
        </w:rPr>
        <w:t>ФЕДЕРАЛЬНАЯ АНТИМОНОПОЛЬНАЯ СЛУЖБА</w:t>
      </w:r>
    </w:p>
    <w:p>
      <w:pPr>
        <w:pStyle w:val="Style3"/>
        <w:framePr w:w="4840" w:h="2350" w:wrap="around" w:hAnchor="margin" w:x="320" w:y="1117"/>
        <w:widowControl w:val="0"/>
        <w:keepNext w:val="0"/>
        <w:keepLines w:val="0"/>
        <w:shd w:val="clear" w:color="auto" w:fill="auto"/>
        <w:bidi w:val="0"/>
        <w:spacing w:before="0" w:after="0"/>
        <w:ind w:left="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40" w:h="2350" w:wrap="around" w:hAnchor="margin" w:x="320" w:y="1117"/>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1075" w:after="0"/>
        <w:ind w:left="20" w:right="0" w:firstLine="0"/>
      </w:pPr>
      <w:r>
        <w:rPr>
          <w:lang w:val="ru-RU" w:eastAsia="ru-RU" w:bidi="ru-RU"/>
          <w:w w:val="100"/>
          <w:spacing w:val="0"/>
          <w:color w:val="000000"/>
          <w:position w:val="0"/>
        </w:rPr>
        <w:t xml:space="preserve"> Заказчик:</w:t>
      </w:r>
    </w:p>
    <w:p>
      <w:pPr>
        <w:pStyle w:val="Style7"/>
        <w:framePr w:w="2910" w:h="882" w:wrap="around" w:vAnchor="text" w:hAnchor="margin" w:x="243" w:y="963"/>
        <w:widowControl w:val="0"/>
        <w:keepNext w:val="0"/>
        <w:keepLines w:val="0"/>
        <w:shd w:val="clear" w:color="auto" w:fill="auto"/>
        <w:bidi w:val="0"/>
        <w:jc w:val="left"/>
        <w:spacing w:before="0" w:after="0" w:line="442" w:lineRule="exact"/>
        <w:ind w:left="20" w:right="100" w:firstLine="0"/>
      </w:pPr>
      <w:r>
        <w:rPr>
          <w:rStyle w:val="CharStyle8"/>
          <w:spacing w:val="0"/>
        </w:rPr>
        <w:t>10.11.2017 №06/12858 На № 789 от 03.11.2017</w:t>
      </w:r>
    </w:p>
    <w:p>
      <w:pPr>
        <w:pStyle w:val="Style7"/>
        <w:widowControl w:val="0"/>
        <w:keepNext w:val="0"/>
        <w:keepLines w:val="0"/>
        <w:shd w:val="clear" w:color="auto" w:fill="auto"/>
        <w:bidi w:val="0"/>
        <w:jc w:val="left"/>
        <w:spacing w:before="0" w:after="0"/>
        <w:ind w:left="20" w:right="320" w:firstLine="0"/>
      </w:pPr>
      <w:r>
        <w:rPr>
          <w:lang w:val="ru-RU" w:eastAsia="ru-RU" w:bidi="ru-RU"/>
          <w:w w:val="100"/>
          <w:spacing w:val="0"/>
          <w:color w:val="000000"/>
          <w:position w:val="0"/>
        </w:rPr>
        <w:t>Государственное бюджетное учреждение здравоохранения Республики Крым «Джанкойская центральная районная больница»</w:t>
      </w:r>
    </w:p>
    <w:p>
      <w:pPr>
        <w:pStyle w:val="Style7"/>
        <w:widowControl w:val="0"/>
        <w:keepNext w:val="0"/>
        <w:keepLines w:val="0"/>
        <w:shd w:val="clear" w:color="auto" w:fill="auto"/>
        <w:bidi w:val="0"/>
        <w:jc w:val="left"/>
        <w:spacing w:before="0" w:after="349"/>
        <w:ind w:left="2140" w:right="1480" w:firstLine="0"/>
      </w:pPr>
      <w:r>
        <w:rPr>
          <w:lang w:val="ru-RU" w:eastAsia="ru-RU" w:bidi="ru-RU"/>
          <w:w w:val="100"/>
          <w:spacing w:val="0"/>
          <w:color w:val="000000"/>
          <w:position w:val="0"/>
        </w:rPr>
        <w:t>296100, Республика Крым, г. Джанкой, ул. Совхозная, д. 19</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4980" w:right="1660" w:firstLine="0"/>
      </w:pPr>
      <w:r>
        <w:rPr>
          <w:lang w:val="ru-RU" w:eastAsia="ru-RU" w:bidi="ru-RU"/>
          <w:w w:val="100"/>
          <w:spacing w:val="0"/>
          <w:color w:val="000000"/>
          <w:position w:val="0"/>
        </w:rPr>
        <w:t>Общество с ограниченной ответственностью «Медлайф»</w:t>
      </w:r>
    </w:p>
    <w:p>
      <w:pPr>
        <w:pStyle w:val="Style7"/>
        <w:widowControl w:val="0"/>
        <w:keepNext w:val="0"/>
        <w:keepLines w:val="0"/>
        <w:shd w:val="clear" w:color="auto" w:fill="auto"/>
        <w:bidi w:val="0"/>
        <w:jc w:val="left"/>
        <w:spacing w:before="0" w:after="304"/>
        <w:ind w:left="4980" w:right="1660" w:firstLine="0"/>
      </w:pPr>
      <w:r>
        <w:rPr>
          <w:lang w:val="ru-RU" w:eastAsia="ru-RU" w:bidi="ru-RU"/>
          <w:w w:val="100"/>
          <w:spacing w:val="0"/>
          <w:color w:val="000000"/>
          <w:position w:val="0"/>
        </w:rPr>
        <w:t>299014, г. Севастополь, ул. Челнокова, д. 12/2, кв. 39</w:t>
      </w:r>
    </w:p>
    <w:p>
      <w:pPr>
        <w:pStyle w:val="Style7"/>
        <w:numPr>
          <w:ilvl w:val="0"/>
          <w:numId w:val="1"/>
        </w:numPr>
        <w:widowControl w:val="0"/>
        <w:keepNext w:val="0"/>
        <w:keepLines w:val="0"/>
        <w:shd w:val="clear" w:color="auto" w:fill="auto"/>
        <w:bidi w:val="0"/>
        <w:jc w:val="left"/>
        <w:spacing w:before="0" w:after="0" w:line="317" w:lineRule="exact"/>
        <w:ind w:left="4980" w:right="98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7"/>
        <w:widowControl w:val="0"/>
        <w:keepNext w:val="0"/>
        <w:keepLines w:val="0"/>
        <w:shd w:val="clear" w:color="auto" w:fill="auto"/>
        <w:bidi w:val="0"/>
        <w:jc w:val="left"/>
        <w:spacing w:before="0" w:after="2" w:line="260" w:lineRule="exact"/>
        <w:ind w:left="4980" w:right="0" w:firstLine="0"/>
      </w:pPr>
      <w:r>
        <w:rPr>
          <w:lang w:val="ru-RU" w:eastAsia="ru-RU" w:bidi="ru-RU"/>
          <w:w w:val="100"/>
          <w:spacing w:val="0"/>
          <w:color w:val="000000"/>
          <w:position w:val="0"/>
        </w:rPr>
        <w:t>121151, г. Москва,</w:t>
      </w:r>
    </w:p>
    <w:p>
      <w:pPr>
        <w:pStyle w:val="Style7"/>
        <w:widowControl w:val="0"/>
        <w:keepNext w:val="0"/>
        <w:keepLines w:val="0"/>
        <w:shd w:val="clear" w:color="auto" w:fill="auto"/>
        <w:bidi w:val="0"/>
        <w:jc w:val="left"/>
        <w:spacing w:before="0" w:after="183" w:line="260" w:lineRule="exact"/>
        <w:ind w:left="4980" w:right="0" w:firstLine="0"/>
      </w:pPr>
      <w:r>
        <w:rPr>
          <w:lang w:val="ru-RU" w:eastAsia="ru-RU" w:bidi="ru-RU"/>
          <w:w w:val="100"/>
          <w:spacing w:val="0"/>
          <w:color w:val="000000"/>
          <w:position w:val="0"/>
        </w:rPr>
        <w:t>наб. Тараса Шевченко, д. 23А</w:t>
      </w: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№06/4204-17 о нарушении законодательства Российской Федерации о контрактной системе в сфере закупок</w:t>
      </w:r>
    </w:p>
    <w:p>
      <w:pPr>
        <w:pStyle w:val="Style7"/>
        <w:numPr>
          <w:ilvl w:val="0"/>
          <w:numId w:val="3"/>
        </w:numPr>
        <w:tabs>
          <w:tab w:leader="none" w:pos="8224" w:val="right"/>
          <w:tab w:leader="none" w:pos="8424" w:val="left"/>
          <w:tab w:leader="none" w:pos="8066"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0"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представителя интересов Заказчика С. С. Ковалевой (по доверенности),</w:t>
      </w:r>
      <w:r>
        <w:br w:type="page"/>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03.11.2017 №789 (вх. №4781/09 от 03.11.2017) на действия Заказчика при проведении электронного аукциона «Рабочее место офтальмолога с комплектом оборудования» (номер извещения 0375200016117000218)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документации об Аукционе Заказчиком не установлены надлежащие требования к порядку внесения обеспечения исполнения контракта в виде денежных средств (отсутствуют реквизиты счета).</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документации об Аукционе Заказчиком установлено необоснованное требование о предоставлении во вторых частях заявок участников Аукциона декларации о принадлежности участника Аукциона к субъектам малого предпринимательства или социально ориентированным некоммерческим организациям.</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извещении о проведении Аукционе Заказчиком не установлено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 06/12639,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На заседании Комиссии представитель Заказчика не согласился с доводами</w:t>
      </w:r>
    </w:p>
    <w:p>
      <w:pPr>
        <w:pStyle w:val="Style7"/>
        <w:widowControl w:val="0"/>
        <w:keepNext w:val="0"/>
        <w:keepLines w:val="0"/>
        <w:shd w:val="clear" w:color="auto" w:fill="auto"/>
        <w:bidi w:val="0"/>
        <w:jc w:val="both"/>
        <w:spacing w:before="0" w:after="0"/>
        <w:ind w:left="60" w:right="80" w:firstLine="0"/>
      </w:pPr>
      <w:r>
        <w:rPr>
          <w:lang w:val="ru-RU" w:eastAsia="ru-RU" w:bidi="ru-RU"/>
          <w:w w:val="100"/>
          <w:spacing w:val="0"/>
          <w:color w:val="000000"/>
          <w:position w:val="0"/>
        </w:rPr>
        <w:t>Заявителя и сообщил,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ind w:left="6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 xml:space="preserve"> извещение о проведении закупки размещено на официальном сайте — 27.10.2017;</w:t>
      </w:r>
    </w:p>
    <w:p>
      <w:pPr>
        <w:pStyle w:val="Style7"/>
        <w:numPr>
          <w:ilvl w:val="0"/>
          <w:numId w:val="7"/>
        </w:numPr>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60" w:right="0" w:firstLine="860"/>
      </w:pPr>
      <w:r>
        <w:rPr>
          <w:lang w:val="ru-RU" w:eastAsia="ru-RU" w:bidi="ru-RU"/>
          <w:w w:val="100"/>
          <w:spacing w:val="0"/>
          <w:color w:val="000000"/>
          <w:position w:val="0"/>
        </w:rPr>
        <w:t xml:space="preserve"> начальная (максимальная) цена контракта - 726 500,00 рублей;</w:t>
      </w:r>
    </w:p>
    <w:p>
      <w:pPr>
        <w:pStyle w:val="Style7"/>
        <w:numPr>
          <w:ilvl w:val="0"/>
          <w:numId w:val="7"/>
        </w:numPr>
        <w:widowControl w:val="0"/>
        <w:keepNext w:val="0"/>
        <w:keepLines w:val="0"/>
        <w:shd w:val="clear" w:color="auto" w:fill="auto"/>
        <w:bidi w:val="0"/>
        <w:jc w:val="both"/>
        <w:spacing w:before="0" w:after="180"/>
        <w:ind w:left="60" w:right="80" w:firstLine="860"/>
      </w:pPr>
      <w:r>
        <w:rPr>
          <w:lang w:val="ru-RU" w:eastAsia="ru-RU" w:bidi="ru-RU"/>
          <w:w w:val="100"/>
          <w:spacing w:val="0"/>
          <w:color w:val="000000"/>
          <w:position w:val="0"/>
        </w:rPr>
        <w:t xml:space="preserve"> дата и время окончания подачи заявок: 07.11.2017 08:00, дата окончания срока рассмотрения первых частей заявок участников: 10.11.2017, дата проведения Аукциона: 13.11.2017.</w:t>
      </w:r>
    </w:p>
    <w:p>
      <w:pPr>
        <w:pStyle w:val="Style7"/>
        <w:numPr>
          <w:ilvl w:val="0"/>
          <w:numId w:val="9"/>
        </w:numPr>
        <w:tabs>
          <w:tab w:leader="none" w:pos="1232" w:val="left"/>
        </w:tabs>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В качестве довода жалобы Заявитель указывает на то, что в документации об Аукционе Заказчиком не установлены надлежащие требования к порядку внесения обеспечения исполнения контракта в виде денежных средств (отсутствуют реквизиты счета).</w:t>
      </w:r>
    </w:p>
    <w:p>
      <w:pPr>
        <w:pStyle w:val="Style7"/>
        <w:widowControl w:val="0"/>
        <w:keepNext w:val="0"/>
        <w:keepLines w:val="0"/>
        <w:shd w:val="clear" w:color="auto" w:fill="auto"/>
        <w:bidi w:val="0"/>
        <w:jc w:val="both"/>
        <w:spacing w:before="0" w:after="0"/>
        <w:ind w:left="60" w:right="80" w:firstLine="860"/>
      </w:pPr>
      <w:r>
        <w:rPr>
          <w:rStyle w:val="CharStyle14"/>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r>
        <w:rPr>
          <w:lang w:val="ru-RU" w:eastAsia="ru-RU" w:bidi="ru-RU"/>
          <w:w w:val="100"/>
          <w:spacing w:val="0"/>
          <w:color w:val="000000"/>
          <w:position w:val="0"/>
        </w:rPr>
        <w:t>.</w:t>
      </w:r>
    </w:p>
    <w:p>
      <w:pPr>
        <w:pStyle w:val="Style7"/>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В силу части 5 стати 63 Закона о контрактной системе в извещении о проведении электронного аукциона должна содержаться информация, указанная в статье 42 Закона о контрактной системе.</w:t>
      </w:r>
    </w:p>
    <w:p>
      <w:pPr>
        <w:pStyle w:val="Style7"/>
        <w:widowControl w:val="0"/>
        <w:keepNext w:val="0"/>
        <w:keepLines w:val="0"/>
        <w:shd w:val="clear" w:color="auto" w:fill="auto"/>
        <w:bidi w:val="0"/>
        <w:jc w:val="both"/>
        <w:spacing w:before="0" w:after="0"/>
        <w:ind w:left="60" w:right="80" w:firstLine="860"/>
      </w:pPr>
      <w:r>
        <w:rPr>
          <w:lang w:val="ru-RU" w:eastAsia="ru-RU" w:bidi="ru-RU"/>
          <w:w w:val="100"/>
          <w:spacing w:val="0"/>
          <w:color w:val="000000"/>
          <w:position w:val="0"/>
        </w:rPr>
        <w:t>Пунктом 8 статьи 42 Закона о контрактной системе определено, что в извещении об осуществлении закупки должна содержаться информация о размере обеспечения исполнения контракта, порядке предоставления такого обеспечения, требованиях к такому обеспечению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статьей 35 Закона о контрактной системе.</w:t>
      </w:r>
    </w:p>
    <w:p>
      <w:pPr>
        <w:pStyle w:val="Style15"/>
        <w:framePr w:w="10330" w:wrap="notBeside" w:vAnchor="text" w:hAnchor="text" w:xAlign="center" w:y="1"/>
        <w:tabs>
          <w:tab w:leader="underscore" w:pos="6710"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На заседании Комиссии, установлено, что в извещении о проведении </w:t>
      </w:r>
      <w:r>
        <w:rPr>
          <w:rStyle w:val="CharStyle17"/>
        </w:rPr>
        <w:t xml:space="preserve">Аукциона Заказчик указал: </w:t>
      </w:r>
      <w:r>
        <w:rPr>
          <w:rStyle w:val="CharStyle18"/>
        </w:rPr>
        <w:t>«...</w:t>
      </w:r>
      <w:r>
        <w:rPr>
          <w:rStyle w:val="CharStyle19"/>
          <w:lang w:val="ru-RU" w:eastAsia="ru-RU" w:bidi="ru-RU"/>
        </w:rPr>
        <w:tab/>
      </w:r>
    </w:p>
    <w:tbl>
      <w:tblPr>
        <w:tblOverlap w:val="never"/>
        <w:tblLayout w:type="fixed"/>
        <w:jc w:val="center"/>
      </w:tblPr>
      <w:tblGrid>
        <w:gridCol w:w="6768"/>
        <w:gridCol w:w="3562"/>
      </w:tblGrid>
      <w:tr>
        <w:trPr>
          <w:trHeight w:val="384"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0"/>
              </w:rPr>
              <w:t>Обеспечение исполнения контракта</w:t>
            </w:r>
          </w:p>
        </w:tc>
        <w:tc>
          <w:tcPr>
            <w:shd w:val="clear" w:color="auto" w:fill="FFFFFF"/>
            <w:tcBorders>
              <w:left w:val="single" w:sz="4"/>
            </w:tcBorders>
            <w:vAlign w:val="top"/>
          </w:tcPr>
          <w:p>
            <w:pPr>
              <w:framePr w:w="10330" w:wrap="notBeside" w:vAnchor="text" w:hAnchor="text" w:xAlign="center" w:y="1"/>
              <w:widowControl w:val="0"/>
              <w:rPr>
                <w:sz w:val="10"/>
                <w:szCs w:val="10"/>
              </w:rPr>
            </w:pPr>
          </w:p>
        </w:tc>
      </w:tr>
      <w:tr>
        <w:trPr>
          <w:trHeight w:val="355"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Требуется обеспечение исполнения контракта</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360"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Размер обеспечения исполнения контракта</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36325.00</w:t>
            </w:r>
          </w:p>
        </w:tc>
      </w:tr>
      <w:tr>
        <w:trPr>
          <w:trHeight w:val="907"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1"/>
              </w:rPr>
              <w:t>Порядок предоставления обеспечения исполнения контракта, требования к обеспечению, информация о банковском сопровождении контракта</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согласно документации</w:t>
            </w:r>
          </w:p>
        </w:tc>
      </w:tr>
      <w:tr>
        <w:trPr>
          <w:trHeight w:val="1214"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Платежные реквизиты для обеспечения исполнения контракта</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240" w:line="274" w:lineRule="exact"/>
              <w:ind w:left="60" w:right="0" w:firstLine="0"/>
            </w:pPr>
            <w:r>
              <w:rPr>
                <w:rStyle w:val="CharStyle21"/>
              </w:rPr>
              <w:t>"Номер расчётного счёта" 40601810035101000001</w:t>
            </w:r>
          </w:p>
          <w:p>
            <w:pPr>
              <w:pStyle w:val="Style7"/>
              <w:framePr w:w="10330" w:wrap="notBeside" w:vAnchor="text" w:hAnchor="text" w:xAlign="center" w:y="1"/>
              <w:widowControl w:val="0"/>
              <w:keepNext w:val="0"/>
              <w:keepLines w:val="0"/>
              <w:shd w:val="clear" w:color="auto" w:fill="auto"/>
              <w:bidi w:val="0"/>
              <w:jc w:val="left"/>
              <w:spacing w:before="240" w:after="0" w:line="220" w:lineRule="exact"/>
              <w:ind w:left="60" w:right="0" w:firstLine="0"/>
            </w:pPr>
            <w:r>
              <w:rPr>
                <w:rStyle w:val="CharStyle21"/>
              </w:rPr>
              <w:t>"Номер лицевого счёта"</w:t>
            </w:r>
          </w:p>
        </w:tc>
      </w:tr>
    </w:tbl>
    <w:p>
      <w:pPr>
        <w:widowControl w:val="0"/>
        <w:rPr>
          <w:sz w:val="2"/>
          <w:szCs w:val="2"/>
        </w:rPr>
      </w:pPr>
    </w:p>
    <w:p>
      <w:pPr>
        <w:pStyle w:val="Style22"/>
        <w:widowControl w:val="0"/>
        <w:keepNext w:val="0"/>
        <w:keepLines w:val="0"/>
        <w:shd w:val="clear" w:color="auto" w:fill="auto"/>
        <w:bidi w:val="0"/>
        <w:jc w:val="left"/>
        <w:spacing w:before="0" w:after="243" w:line="220" w:lineRule="exact"/>
        <w:ind w:left="7060" w:right="0" w:firstLine="0"/>
      </w:pPr>
      <w:r>
        <w:rPr>
          <w:lang w:val="ru-RU" w:eastAsia="ru-RU" w:bidi="ru-RU"/>
          <w:w w:val="100"/>
          <w:spacing w:val="0"/>
          <w:color w:val="000000"/>
          <w:position w:val="0"/>
        </w:rPr>
        <w:t>20756Щ93840</w:t>
      </w:r>
    </w:p>
    <w:p>
      <w:pPr>
        <w:pStyle w:val="Style22"/>
        <w:tabs>
          <w:tab w:leader="underscore" w:pos="7404" w:val="center"/>
          <w:tab w:leader="none" w:pos="7921" w:val="left"/>
        </w:tabs>
        <w:widowControl w:val="0"/>
        <w:keepNext w:val="0"/>
        <w:keepLines w:val="0"/>
        <w:shd w:val="clear" w:color="auto" w:fill="auto"/>
        <w:bidi w:val="0"/>
        <w:jc w:val="both"/>
        <w:spacing w:before="0" w:after="65" w:line="220" w:lineRule="exact"/>
        <w:ind w:left="1140" w:right="0" w:firstLine="0"/>
      </w:pPr>
      <w:r>
        <w:rPr>
          <w:lang w:val="ru-RU" w:eastAsia="ru-RU" w:bidi="ru-RU"/>
          <w:w w:val="100"/>
          <w:spacing w:val="0"/>
          <w:color w:val="000000"/>
          <w:position w:val="0"/>
        </w:rPr>
        <w:tab/>
      </w:r>
      <w:r>
        <w:rPr>
          <w:rStyle w:val="CharStyle24"/>
        </w:rPr>
        <w:t>"БИК"</w:t>
        <w:tab/>
        <w:t>043510001</w:t>
      </w:r>
    </w:p>
    <w:p>
      <w:pPr>
        <w:pStyle w:val="Style7"/>
        <w:widowControl w:val="0"/>
        <w:keepNext w:val="0"/>
        <w:keepLines w:val="0"/>
        <w:shd w:val="clear" w:color="auto" w:fill="auto"/>
        <w:bidi w:val="0"/>
        <w:jc w:val="both"/>
        <w:spacing w:before="0" w:after="57" w:line="260" w:lineRule="exact"/>
        <w:ind w:left="1140" w:right="0" w:firstLine="0"/>
      </w:pPr>
      <w:r>
        <w:rPr>
          <w:rStyle w:val="CharStyle25"/>
        </w:rPr>
        <w:t>.»</w:t>
      </w:r>
      <w:r>
        <w:rPr>
          <w:lang w:val="ru-RU" w:eastAsia="ru-RU" w:bidi="ru-RU"/>
          <w:w w:val="100"/>
          <w:spacing w:val="0"/>
          <w:color w:val="000000"/>
          <w:position w:val="0"/>
        </w:rPr>
        <w:t xml:space="preserve"> (цитата извещения о проведении Аукциона).</w:t>
      </w:r>
    </w:p>
    <w:p>
      <w:pPr>
        <w:pStyle w:val="Style7"/>
        <w:widowControl w:val="0"/>
        <w:keepNext w:val="0"/>
        <w:keepLines w:val="0"/>
        <w:shd w:val="clear" w:color="auto" w:fill="auto"/>
        <w:bidi w:val="0"/>
        <w:jc w:val="both"/>
        <w:spacing w:before="0" w:after="240" w:line="260" w:lineRule="exact"/>
        <w:ind w:left="1140" w:right="0" w:firstLine="0"/>
      </w:pPr>
      <w:r>
        <w:rPr>
          <w:lang w:val="ru-RU" w:eastAsia="ru-RU" w:bidi="ru-RU"/>
          <w:w w:val="100"/>
          <w:spacing w:val="0"/>
          <w:color w:val="000000"/>
          <w:position w:val="0"/>
        </w:rPr>
        <w:t>При этом в документации об Аукционе Заказчик указал: «.</w:t>
      </w:r>
    </w:p>
    <w:p>
      <w:pPr>
        <w:pStyle w:val="Style3"/>
        <w:widowControl w:val="0"/>
        <w:keepNext w:val="0"/>
        <w:keepLines w:val="0"/>
        <w:shd w:val="clear" w:color="auto" w:fill="auto"/>
        <w:bidi w:val="0"/>
        <w:spacing w:before="0" w:after="256" w:line="220" w:lineRule="exact"/>
        <w:ind w:left="100" w:right="0" w:firstLine="0"/>
      </w:pPr>
      <w:r>
        <w:rPr>
          <w:lang w:val="en-US" w:eastAsia="en-US" w:bidi="en-US"/>
          <w:w w:val="100"/>
          <w:spacing w:val="0"/>
          <w:color w:val="000000"/>
          <w:position w:val="0"/>
        </w:rPr>
        <w:t xml:space="preserve">II.VI. </w:t>
      </w:r>
      <w:r>
        <w:rPr>
          <w:lang w:val="ru-RU" w:eastAsia="ru-RU" w:bidi="ru-RU"/>
          <w:w w:val="100"/>
          <w:spacing w:val="0"/>
          <w:color w:val="000000"/>
          <w:position w:val="0"/>
        </w:rPr>
        <w:t>УСЛОВИЯ ФИНАНСОВОГО ОБЕСПЕЧЕНИЯ</w:t>
      </w:r>
    </w:p>
    <w:tbl>
      <w:tblPr>
        <w:tblOverlap w:val="never"/>
        <w:tblLayout w:type="fixed"/>
        <w:jc w:val="center"/>
      </w:tblPr>
      <w:tblGrid>
        <w:gridCol w:w="677"/>
        <w:gridCol w:w="3014"/>
        <w:gridCol w:w="7037"/>
      </w:tblGrid>
      <w:tr>
        <w:trPr>
          <w:trHeight w:val="288"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20"/>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0"/>
              </w:rPr>
              <w:t>пун</w:t>
            </w:r>
          </w:p>
        </w:tc>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Наименование</w:t>
            </w:r>
          </w:p>
        </w:tc>
        <w:tc>
          <w:tcPr>
            <w:shd w:val="clear" w:color="auto" w:fill="FFFFFF"/>
            <w:tcBorders>
              <w:left w:val="single" w:sz="4"/>
              <w:righ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Информация</w:t>
            </w: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0"/>
              </w:rPr>
              <w:t>кта</w:t>
            </w:r>
          </w:p>
        </w:tc>
        <w:tc>
          <w:tcPr>
            <w:shd w:val="clear" w:color="auto" w:fill="FFFFFF"/>
            <w:tcBorders>
              <w:left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728" w:wrap="notBeside" w:vAnchor="text" w:hAnchor="text" w:xAlign="center" w:y="1"/>
              <w:widowControl w:val="0"/>
              <w:rPr>
                <w:sz w:val="10"/>
                <w:szCs w:val="10"/>
              </w:rPr>
            </w:pPr>
          </w:p>
        </w:tc>
      </w:tr>
      <w:tr>
        <w:trPr>
          <w:trHeight w:val="346" w:hRule="exact"/>
        </w:trPr>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0"/>
              </w:rPr>
              <w:t>...</w:t>
            </w:r>
          </w:p>
        </w:tc>
      </w:tr>
      <w:tr>
        <w:trPr>
          <w:trHeight w:val="562" w:hRule="exact"/>
        </w:trPr>
        <w:tc>
          <w:tcPr>
            <w:shd w:val="clear" w:color="auto" w:fill="FFFFFF"/>
            <w:tcBorders>
              <w:left w:val="single" w:sz="4"/>
              <w:top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20"/>
              </w:rPr>
              <w:t>3.</w:t>
            </w:r>
          </w:p>
        </w:tc>
        <w:tc>
          <w:tcPr>
            <w:shd w:val="clear" w:color="auto" w:fill="FFFFFF"/>
            <w:tcBorders>
              <w:lef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21"/>
              </w:rPr>
              <w:t>Размер обеспечения исполнения контракта</w:t>
            </w:r>
          </w:p>
        </w:tc>
        <w:tc>
          <w:tcPr>
            <w:shd w:val="clear" w:color="auto" w:fill="FFFFFF"/>
            <w:tcBorders>
              <w:left w:val="single" w:sz="4"/>
              <w:righ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78" w:lineRule="exact"/>
              <w:ind w:left="120" w:right="0" w:firstLine="0"/>
            </w:pPr>
            <w:r>
              <w:rPr>
                <w:rStyle w:val="CharStyle20"/>
              </w:rPr>
              <w:t>36325,00 (тридцать шесть тысяч триста двадцать пять рублей,00 копеек)</w:t>
            </w:r>
          </w:p>
        </w:tc>
      </w:tr>
      <w:tr>
        <w:trPr>
          <w:trHeight w:val="4118" w:hRule="exact"/>
        </w:trPr>
        <w:tc>
          <w:tcPr>
            <w:shd w:val="clear" w:color="auto" w:fill="FFFFFF"/>
            <w:vMerge w:val="restart"/>
            <w:tcBorders>
              <w:left w:val="single" w:sz="4"/>
              <w:top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20"/>
              </w:rPr>
              <w:t>4.</w:t>
            </w:r>
          </w:p>
        </w:tc>
        <w:tc>
          <w:tcPr>
            <w:shd w:val="clear" w:color="auto" w:fill="FFFFFF"/>
            <w:vMerge w:val="restart"/>
            <w:tcBorders>
              <w:left w:val="single" w:sz="4"/>
              <w:top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1"/>
              </w:rPr>
              <w:t>Срок и порядок предоставления обеспечения исполнения контракта</w:t>
            </w:r>
          </w:p>
        </w:tc>
        <w:tc>
          <w:tcPr>
            <w:shd w:val="clear" w:color="auto" w:fill="FFFFFF"/>
            <w:tcBorders>
              <w:left w:val="single" w:sz="4"/>
              <w:right w:val="single" w:sz="4"/>
              <w:top w:val="single" w:sz="4"/>
            </w:tcBorders>
            <w:vAlign w:val="bottom"/>
          </w:tcPr>
          <w:p>
            <w:pPr>
              <w:pStyle w:val="Style7"/>
              <w:numPr>
                <w:ilvl w:val="0"/>
                <w:numId w:val="11"/>
              </w:numPr>
              <w:framePr w:w="10728" w:wrap="notBeside" w:vAnchor="text" w:hAnchor="text" w:xAlign="center" w:y="1"/>
              <w:tabs>
                <w:tab w:leader="none" w:pos="629" w:val="left"/>
              </w:tabs>
              <w:widowControl w:val="0"/>
              <w:keepNext w:val="0"/>
              <w:keepLines w:val="0"/>
              <w:shd w:val="clear" w:color="auto" w:fill="auto"/>
              <w:bidi w:val="0"/>
              <w:jc w:val="both"/>
              <w:spacing w:before="0" w:after="0" w:line="274" w:lineRule="exact"/>
              <w:ind w:left="0" w:right="0" w:firstLine="0"/>
            </w:pPr>
            <w:r>
              <w:rPr>
                <w:rStyle w:val="CharStyle21"/>
              </w:rPr>
              <w:t>Контракт заключается только после предоставления участником аукциона, с которым заключается контракт обеспечения исполнения контракта.</w:t>
            </w:r>
          </w:p>
          <w:p>
            <w:pPr>
              <w:pStyle w:val="Style7"/>
              <w:numPr>
                <w:ilvl w:val="0"/>
                <w:numId w:val="11"/>
              </w:numPr>
              <w:framePr w:w="10728" w:wrap="notBeside" w:vAnchor="text" w:hAnchor="text" w:xAlign="center" w:y="1"/>
              <w:tabs>
                <w:tab w:leader="none" w:pos="624" w:val="left"/>
              </w:tabs>
              <w:widowControl w:val="0"/>
              <w:keepNext w:val="0"/>
              <w:keepLines w:val="0"/>
              <w:shd w:val="clear" w:color="auto" w:fill="auto"/>
              <w:bidi w:val="0"/>
              <w:jc w:val="both"/>
              <w:spacing w:before="0" w:after="0" w:line="274" w:lineRule="exact"/>
              <w:ind w:left="0" w:right="0" w:firstLine="0"/>
            </w:pPr>
            <w:r>
              <w:rPr>
                <w:rStyle w:val="CharStyle20"/>
              </w:rPr>
              <w:t>Обеспечение исполнения контракта должно быть предоставлено одновременно с подписанным участником экземпляром контракта.</w:t>
            </w:r>
          </w:p>
          <w:p>
            <w:pPr>
              <w:pStyle w:val="Style7"/>
              <w:numPr>
                <w:ilvl w:val="0"/>
                <w:numId w:val="11"/>
              </w:numPr>
              <w:framePr w:w="10728" w:wrap="notBeside" w:vAnchor="text" w:hAnchor="text" w:xAlign="center" w:y="1"/>
              <w:tabs>
                <w:tab w:leader="none" w:pos="523" w:val="left"/>
              </w:tabs>
              <w:widowControl w:val="0"/>
              <w:keepNext w:val="0"/>
              <w:keepLines w:val="0"/>
              <w:shd w:val="clear" w:color="auto" w:fill="auto"/>
              <w:bidi w:val="0"/>
              <w:jc w:val="both"/>
              <w:spacing w:before="0" w:after="0" w:line="274" w:lineRule="exact"/>
              <w:ind w:left="0" w:right="0" w:firstLine="0"/>
            </w:pPr>
            <w:r>
              <w:rPr>
                <w:rStyle w:val="CharStyle21"/>
              </w:rPr>
              <w:t>Исполнение контракта может обеспечиваться банковской гарантией, выданной банком, соответствующей требованиям статьи 45 Федерального закона, с учетом требований установленных постановлением Правительства Российской Федерации от 08.11.2013 №1005 (с учетом изменений и дополнений)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pPr>
              <w:pStyle w:val="Style7"/>
              <w:numPr>
                <w:ilvl w:val="0"/>
                <w:numId w:val="11"/>
              </w:numPr>
              <w:framePr w:w="10728" w:wrap="notBeside" w:vAnchor="text" w:hAnchor="text" w:xAlign="center" w:y="1"/>
              <w:tabs>
                <w:tab w:leader="none" w:pos="667" w:val="left"/>
              </w:tabs>
              <w:widowControl w:val="0"/>
              <w:keepNext w:val="0"/>
              <w:keepLines w:val="0"/>
              <w:shd w:val="clear" w:color="auto" w:fill="auto"/>
              <w:bidi w:val="0"/>
              <w:jc w:val="both"/>
              <w:spacing w:before="0" w:after="0" w:line="274" w:lineRule="exact"/>
              <w:ind w:left="0" w:right="0" w:firstLine="0"/>
            </w:pPr>
            <w:r>
              <w:rPr>
                <w:rStyle w:val="CharStyle21"/>
              </w:rPr>
              <w:t>Требования к обеспечению исполнения контракта,</w:t>
            </w:r>
          </w:p>
        </w:tc>
      </w:tr>
      <w:tr>
        <w:trPr>
          <w:trHeight w:val="278" w:hRule="exact"/>
        </w:trPr>
        <w:tc>
          <w:tcPr>
            <w:shd w:val="clear" w:color="auto" w:fill="FFFFFF"/>
            <w:vMerge/>
            <w:tcBorders>
              <w:left w:val="single" w:sz="4"/>
            </w:tcBorders>
            <w:vAlign w:val="top"/>
          </w:tcPr>
          <w:p>
            <w:pPr>
              <w:framePr w:w="10728" w:wrap="notBeside" w:vAnchor="text" w:hAnchor="text" w:xAlign="center" w:y="1"/>
            </w:pPr>
          </w:p>
        </w:tc>
        <w:tc>
          <w:tcPr>
            <w:shd w:val="clear" w:color="auto" w:fill="FFFFFF"/>
            <w:vMerge/>
            <w:tcBorders>
              <w:left w:val="single" w:sz="4"/>
            </w:tcBorders>
            <w:vAlign w:val="top"/>
          </w:tcPr>
          <w:p>
            <w:pPr>
              <w:framePr w:w="10728" w:wrap="notBeside" w:vAnchor="text" w:hAnchor="text" w:xAlign="center" w:y="1"/>
            </w:pPr>
          </w:p>
        </w:tc>
        <w:tc>
          <w:tcPr>
            <w:shd w:val="clear" w:color="auto" w:fill="FFFFFF"/>
            <w:tcBorders>
              <w:left w:val="single" w:sz="4"/>
              <w:righ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1"/>
              </w:rPr>
              <w:t>предоставляемому в виде банковской гарантии, установлены в</w:t>
            </w:r>
          </w:p>
        </w:tc>
      </w:tr>
      <w:tr>
        <w:trPr>
          <w:trHeight w:val="5832" w:hRule="exact"/>
        </w:trPr>
        <w:tc>
          <w:tcPr>
            <w:shd w:val="clear" w:color="auto" w:fill="FFFFFF"/>
            <w:vMerge/>
            <w:tcBorders>
              <w:left w:val="single" w:sz="4"/>
              <w:bottom w:val="single" w:sz="4"/>
            </w:tcBorders>
            <w:vAlign w:val="top"/>
          </w:tcPr>
          <w:p>
            <w:pPr>
              <w:framePr w:w="10728" w:wrap="notBeside" w:vAnchor="text" w:hAnchor="text" w:xAlign="center" w:y="1"/>
            </w:pPr>
          </w:p>
        </w:tc>
        <w:tc>
          <w:tcPr>
            <w:shd w:val="clear" w:color="auto" w:fill="FFFFFF"/>
            <w:vMerge/>
            <w:tcBorders>
              <w:left w:val="single" w:sz="4"/>
              <w:bottom w:val="single" w:sz="4"/>
            </w:tcBorders>
            <w:vAlign w:val="top"/>
          </w:tcPr>
          <w:p>
            <w:pPr>
              <w:framePr w:w="10728" w:wrap="notBeside" w:vAnchor="text" w:hAnchor="text" w:xAlign="center" w:y="1"/>
            </w:pPr>
          </w:p>
        </w:tc>
        <w:tc>
          <w:tcPr>
            <w:shd w:val="clear" w:color="auto" w:fill="FFFFFF"/>
            <w:tcBorders>
              <w:left w:val="single" w:sz="4"/>
              <w:right w:val="single" w:sz="4"/>
              <w:top w:val="single" w:sz="4"/>
              <w:bottom w:val="single" w:sz="4"/>
            </w:tcBorders>
            <w:vAlign w:val="bottom"/>
          </w:tcPr>
          <w:p>
            <w:pPr>
              <w:pStyle w:val="Style7"/>
              <w:framePr w:w="1072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1"/>
              </w:rPr>
              <w:t>статье 45 Федерального закона, а именно:</w:t>
            </w:r>
          </w:p>
          <w:p>
            <w:pPr>
              <w:pStyle w:val="Style7"/>
              <w:numPr>
                <w:ilvl w:val="0"/>
                <w:numId w:val="13"/>
              </w:numPr>
              <w:framePr w:w="10728" w:wrap="notBeside" w:vAnchor="text" w:hAnchor="text" w:xAlign="center" w:y="1"/>
              <w:tabs>
                <w:tab w:leader="none" w:pos="770" w:val="left"/>
              </w:tabs>
              <w:widowControl w:val="0"/>
              <w:keepNext w:val="0"/>
              <w:keepLines w:val="0"/>
              <w:shd w:val="clear" w:color="auto" w:fill="auto"/>
              <w:bidi w:val="0"/>
              <w:jc w:val="both"/>
              <w:spacing w:before="0" w:after="0" w:line="274" w:lineRule="exact"/>
              <w:ind w:left="0" w:right="0" w:firstLine="540"/>
            </w:pPr>
            <w:r>
              <w:rPr>
                <w:rStyle w:val="CharStyle21"/>
              </w:rPr>
              <w:t>Банковская гарантия должна быть безотзывной;</w:t>
            </w:r>
          </w:p>
          <w:p>
            <w:pPr>
              <w:pStyle w:val="Style7"/>
              <w:numPr>
                <w:ilvl w:val="0"/>
                <w:numId w:val="13"/>
              </w:numPr>
              <w:framePr w:w="10728" w:wrap="notBeside" w:vAnchor="text" w:hAnchor="text" w:xAlign="center" w:y="1"/>
              <w:tabs>
                <w:tab w:leader="none" w:pos="794" w:val="left"/>
              </w:tabs>
              <w:widowControl w:val="0"/>
              <w:keepNext w:val="0"/>
              <w:keepLines w:val="0"/>
              <w:shd w:val="clear" w:color="auto" w:fill="auto"/>
              <w:bidi w:val="0"/>
              <w:jc w:val="both"/>
              <w:spacing w:before="0" w:after="0" w:line="274" w:lineRule="exact"/>
              <w:ind w:left="0" w:right="0" w:firstLine="540"/>
            </w:pPr>
            <w:r>
              <w:rPr>
                <w:rStyle w:val="CharStyle21"/>
              </w:rPr>
              <w:t>Банковская гарантия должна содержать:</w:t>
            </w:r>
          </w:p>
          <w:p>
            <w:pPr>
              <w:pStyle w:val="Style7"/>
              <w:framePr w:w="10728" w:wrap="notBeside" w:vAnchor="text" w:hAnchor="text" w:xAlign="center" w:y="1"/>
              <w:tabs>
                <w:tab w:leader="none" w:pos="979" w:val="left"/>
              </w:tabs>
              <w:widowControl w:val="0"/>
              <w:keepNext w:val="0"/>
              <w:keepLines w:val="0"/>
              <w:shd w:val="clear" w:color="auto" w:fill="auto"/>
              <w:bidi w:val="0"/>
              <w:jc w:val="both"/>
              <w:spacing w:before="0" w:after="0" w:line="274" w:lineRule="exact"/>
              <w:ind w:left="0" w:right="0" w:firstLine="540"/>
            </w:pPr>
            <w:r>
              <w:rPr>
                <w:rStyle w:val="CharStyle21"/>
              </w:rPr>
              <w:t>а)</w:t>
              <w:tab/>
              <w:t>сумму банковской гарантии, подлежащую уплате гарантом заказчику в случае ненадлежащего исполнения обязательств принципалом в соответствии со</w:t>
            </w:r>
            <w:r>
              <w:rPr>
                <w:rStyle w:val="CharStyle21"/>
              </w:rPr>
              <w:t xml:space="preserve"> статьей 96</w:t>
            </w:r>
            <w:r>
              <w:rPr>
                <w:rStyle w:val="CharStyle21"/>
              </w:rPr>
              <w:t xml:space="preserve"> настоящего Федерального закона;</w:t>
            </w:r>
          </w:p>
          <w:p>
            <w:pPr>
              <w:pStyle w:val="Style7"/>
              <w:framePr w:w="10728" w:wrap="notBeside" w:vAnchor="text" w:hAnchor="text" w:xAlign="center" w:y="1"/>
              <w:tabs>
                <w:tab w:leader="none" w:pos="970" w:val="left"/>
              </w:tabs>
              <w:widowControl w:val="0"/>
              <w:keepNext w:val="0"/>
              <w:keepLines w:val="0"/>
              <w:shd w:val="clear" w:color="auto" w:fill="auto"/>
              <w:bidi w:val="0"/>
              <w:jc w:val="both"/>
              <w:spacing w:before="0" w:after="0" w:line="274" w:lineRule="exact"/>
              <w:ind w:left="0" w:right="0" w:firstLine="540"/>
            </w:pPr>
            <w:r>
              <w:rPr>
                <w:rStyle w:val="CharStyle21"/>
              </w:rPr>
              <w:t>б)</w:t>
              <w:tab/>
              <w:t>обязательства принципала, надлежащее исполнение которых обеспечивается банковской гарантией;</w:t>
            </w:r>
          </w:p>
          <w:p>
            <w:pPr>
              <w:pStyle w:val="Style7"/>
              <w:framePr w:w="10728" w:wrap="notBeside" w:vAnchor="text" w:hAnchor="text" w:xAlign="center" w:y="1"/>
              <w:tabs>
                <w:tab w:leader="none" w:pos="902" w:val="left"/>
              </w:tabs>
              <w:widowControl w:val="0"/>
              <w:keepNext w:val="0"/>
              <w:keepLines w:val="0"/>
              <w:shd w:val="clear" w:color="auto" w:fill="auto"/>
              <w:bidi w:val="0"/>
              <w:jc w:val="both"/>
              <w:spacing w:before="0" w:after="0" w:line="274" w:lineRule="exact"/>
              <w:ind w:left="0" w:right="0" w:firstLine="540"/>
            </w:pPr>
            <w:r>
              <w:rPr>
                <w:rStyle w:val="CharStyle21"/>
              </w:rPr>
              <w:t>в)</w:t>
              <w:tab/>
              <w:t>обязанность гаранта уплатить заказчику неустойку в размере 0,1 процента денежной суммы, подлежащей уплате, за каждый день просрочки;</w:t>
            </w:r>
          </w:p>
          <w:p>
            <w:pPr>
              <w:pStyle w:val="Style7"/>
              <w:framePr w:w="10728" w:wrap="notBeside" w:vAnchor="text" w:hAnchor="text" w:xAlign="center" w:y="1"/>
              <w:tabs>
                <w:tab w:leader="none" w:pos="864" w:val="left"/>
              </w:tabs>
              <w:widowControl w:val="0"/>
              <w:keepNext w:val="0"/>
              <w:keepLines w:val="0"/>
              <w:shd w:val="clear" w:color="auto" w:fill="auto"/>
              <w:bidi w:val="0"/>
              <w:jc w:val="both"/>
              <w:spacing w:before="0" w:after="0" w:line="274" w:lineRule="exact"/>
              <w:ind w:left="0" w:right="0" w:firstLine="540"/>
            </w:pPr>
            <w:r>
              <w:rPr>
                <w:rStyle w:val="CharStyle21"/>
              </w:rPr>
              <w:t>г)</w:t>
              <w:tab/>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7"/>
              <w:framePr w:w="10728" w:wrap="notBeside" w:vAnchor="text" w:hAnchor="text" w:xAlign="center" w:y="1"/>
              <w:tabs>
                <w:tab w:leader="none" w:pos="922" w:val="left"/>
              </w:tabs>
              <w:widowControl w:val="0"/>
              <w:keepNext w:val="0"/>
              <w:keepLines w:val="0"/>
              <w:shd w:val="clear" w:color="auto" w:fill="auto"/>
              <w:bidi w:val="0"/>
              <w:jc w:val="both"/>
              <w:spacing w:before="0" w:after="0" w:line="274" w:lineRule="exact"/>
              <w:ind w:left="0" w:right="0" w:firstLine="540"/>
            </w:pPr>
            <w:r>
              <w:rPr>
                <w:rStyle w:val="CharStyle21"/>
              </w:rPr>
              <w:t>д)</w:t>
              <w:tab/>
              <w:t>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w:t>
            </w:r>
          </w:p>
        </w:tc>
      </w:tr>
    </w:tbl>
    <w:p>
      <w:pPr>
        <w:widowControl w:val="0"/>
        <w:rPr>
          <w:sz w:val="2"/>
          <w:szCs w:val="2"/>
        </w:rPr>
      </w:pPr>
    </w:p>
    <w:p>
      <w:pPr>
        <w:widowControl w:val="0"/>
        <w:rPr>
          <w:sz w:val="2"/>
          <w:szCs w:val="2"/>
        </w:rPr>
        <w:sectPr>
          <w:footnotePr>
            <w:pos w:val="pageBottom"/>
            <w:numFmt w:val="decimal"/>
            <w:numRestart w:val="continuous"/>
          </w:footnotePr>
          <w:type w:val="continuous"/>
          <w:pgSz w:w="11906" w:h="16838"/>
          <w:pgMar w:top="1234" w:left="600" w:right="442" w:bottom="951" w:header="0" w:footer="3" w:gutter="0"/>
          <w:rtlGutter w:val="0"/>
          <w:cols w:space="720"/>
          <w:noEndnote/>
          <w:docGrid w:linePitch="360"/>
        </w:sectPr>
      </w:pPr>
    </w:p>
    <w:p>
      <w:pPr>
        <w:pStyle w:val="Style3"/>
        <w:framePr w:w="482" w:h="826" w:wrap="around" w:hAnchor="margin" w:x="-6335" w:y="-333"/>
        <w:widowControl w:val="0"/>
        <w:keepNext w:val="0"/>
        <w:keepLines w:val="0"/>
        <w:shd w:val="clear" w:color="auto" w:fill="auto"/>
        <w:bidi w:val="0"/>
        <w:jc w:val="left"/>
        <w:spacing w:before="0" w:after="0" w:line="274" w:lineRule="exact"/>
        <w:ind w:left="60" w:right="0" w:firstLine="0"/>
      </w:pPr>
      <w:r>
        <w:rPr>
          <w:rStyle w:val="CharStyle4"/>
          <w:b/>
          <w:bCs/>
          <w:spacing w:val="0"/>
        </w:rPr>
        <w:t>№</w:t>
      </w:r>
    </w:p>
    <w:p>
      <w:pPr>
        <w:pStyle w:val="Style3"/>
        <w:framePr w:w="482" w:h="826" w:wrap="around" w:hAnchor="margin" w:x="-6335" w:y="-333"/>
        <w:widowControl w:val="0"/>
        <w:keepNext w:val="0"/>
        <w:keepLines w:val="0"/>
        <w:shd w:val="clear" w:color="auto" w:fill="auto"/>
        <w:bidi w:val="0"/>
        <w:jc w:val="left"/>
        <w:spacing w:before="0" w:after="0" w:line="274" w:lineRule="exact"/>
        <w:ind w:left="0" w:right="0" w:firstLine="0"/>
      </w:pPr>
      <w:r>
        <w:rPr>
          <w:rStyle w:val="CharStyle4"/>
          <w:b/>
          <w:bCs/>
          <w:spacing w:val="0"/>
        </w:rPr>
        <w:t>пун</w:t>
      </w:r>
    </w:p>
    <w:p>
      <w:pPr>
        <w:pStyle w:val="Style3"/>
        <w:framePr w:w="482" w:h="826" w:wrap="around" w:hAnchor="margin" w:x="-6335" w:y="-333"/>
        <w:widowControl w:val="0"/>
        <w:keepNext w:val="0"/>
        <w:keepLines w:val="0"/>
        <w:shd w:val="clear" w:color="auto" w:fill="auto"/>
        <w:bidi w:val="0"/>
        <w:jc w:val="left"/>
        <w:spacing w:before="0" w:after="0" w:line="274" w:lineRule="exact"/>
        <w:ind w:left="0" w:right="0" w:firstLine="0"/>
      </w:pPr>
      <w:r>
        <w:rPr>
          <w:rStyle w:val="CharStyle4"/>
          <w:b/>
          <w:bCs/>
          <w:spacing w:val="0"/>
        </w:rPr>
        <w:t>кта</w:t>
      </w:r>
    </w:p>
    <w:p>
      <w:pPr>
        <w:pStyle w:val="Style3"/>
        <w:framePr w:h="210" w:wrap="around" w:vAnchor="text" w:hAnchor="margin" w:x="-5097" w:y="-4"/>
        <w:widowControl w:val="0"/>
        <w:keepNext w:val="0"/>
        <w:keepLines w:val="0"/>
        <w:shd w:val="clear" w:color="auto" w:fill="auto"/>
        <w:bidi w:val="0"/>
        <w:jc w:val="left"/>
        <w:spacing w:before="0" w:after="0" w:line="210" w:lineRule="exact"/>
        <w:ind w:left="0" w:right="0" w:firstLine="0"/>
      </w:pPr>
      <w:r>
        <w:rPr>
          <w:rStyle w:val="CharStyle4"/>
          <w:b/>
          <w:bCs/>
          <w:spacing w:val="0"/>
        </w:rPr>
        <w:t>Наименование</w:t>
      </w:r>
    </w:p>
    <w:p>
      <w:pPr>
        <w:pStyle w:val="Style3"/>
        <w:widowControl w:val="0"/>
        <w:keepNext w:val="0"/>
        <w:keepLines w:val="0"/>
        <w:shd w:val="clear" w:color="auto" w:fill="auto"/>
        <w:bidi w:val="0"/>
        <w:jc w:val="left"/>
        <w:spacing w:before="0" w:after="0" w:line="220" w:lineRule="exact"/>
        <w:ind w:left="0" w:right="0" w:firstLine="0"/>
        <w:sectPr>
          <w:pgSz w:w="11906" w:h="16838"/>
          <w:pgMar w:top="1481" w:left="7079" w:right="3085" w:bottom="631" w:header="0" w:footer="3" w:gutter="0"/>
          <w:rtlGutter w:val="0"/>
          <w:cols w:space="720"/>
          <w:noEndnote/>
          <w:docGrid w:linePitch="360"/>
        </w:sectPr>
      </w:pPr>
      <w:r>
        <w:rPr>
          <w:lang w:val="ru-RU" w:eastAsia="ru-RU" w:bidi="ru-RU"/>
          <w:w w:val="100"/>
          <w:spacing w:val="0"/>
          <w:color w:val="000000"/>
          <w:position w:val="0"/>
        </w:rPr>
        <w:t>Информация</w:t>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до окончания срока действия банковской гарантии</w:t>
      </w:r>
    </w:p>
    <w:p>
      <w:pPr>
        <w:pStyle w:val="Style22"/>
        <w:widowControl w:val="0"/>
        <w:keepNext w:val="0"/>
        <w:keepLines w:val="0"/>
        <w:shd w:val="clear" w:color="auto" w:fill="auto"/>
        <w:bidi w:val="0"/>
        <w:jc w:val="both"/>
        <w:spacing w:before="0" w:after="0" w:line="274" w:lineRule="exact"/>
        <w:ind w:left="40" w:right="0" w:firstLine="560"/>
      </w:pPr>
      <w:r>
        <w:rPr>
          <w:lang w:val="ru-RU" w:eastAsia="ru-RU" w:bidi="ru-RU"/>
          <w:w w:val="100"/>
          <w:spacing w:val="0"/>
          <w:color w:val="000000"/>
          <w:position w:val="0"/>
        </w:rPr>
        <w:t>е) срок действия банковской гарантии;</w:t>
      </w:r>
    </w:p>
    <w:p>
      <w:pPr>
        <w:pStyle w:val="Style22"/>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ё)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22"/>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 xml:space="preserve">ж) установленный Правительством Российской Федерации </w:t>
      </w:r>
      <w:r>
        <w:rPr>
          <w:lang w:val="ru-RU" w:eastAsia="ru-RU" w:bidi="ru-RU"/>
          <w:w w:val="100"/>
          <w:spacing w:val="0"/>
          <w:color w:val="000000"/>
          <w:position w:val="0"/>
        </w:rPr>
        <w:t xml:space="preserve">перечень </w:t>
      </w:r>
      <w:r>
        <w:rPr>
          <w:lang w:val="ru-RU" w:eastAsia="ru-RU" w:bidi="ru-RU"/>
          <w:w w:val="100"/>
          <w:spacing w:val="0"/>
          <w:color w:val="000000"/>
          <w:position w:val="0"/>
        </w:rPr>
        <w:t>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22"/>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з) дополнительные требования к банковской гарантии, утвержденные постановлением Правительства Российской Федерации от 08.11.2013. №1005 (с учетом изменений и дополнений).</w:t>
      </w:r>
    </w:p>
    <w:p>
      <w:pPr>
        <w:pStyle w:val="Style22"/>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3) Банковская гарантия должна быть включена в реестр банковских гарантий, в соответствии со статьей 45 Федерального закона.</w:t>
      </w:r>
    </w:p>
    <w:p>
      <w:pPr>
        <w:pStyle w:val="Style22"/>
        <w:numPr>
          <w:ilvl w:val="0"/>
          <w:numId w:val="15"/>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Срок действия банковской гарантии должен превышать срок действия контракта не менее чем на один месяц</w:t>
      </w:r>
    </w:p>
    <w:p>
      <w:pPr>
        <w:pStyle w:val="Style22"/>
        <w:numPr>
          <w:ilvl w:val="0"/>
          <w:numId w:val="15"/>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В случае возникновения обстоятельств, препятствующих заключению контракта в установленные Федеральным законом сроки, срок действия банковской гарантии продлевается на срок наличия таких обстоятельств.</w:t>
      </w:r>
    </w:p>
    <w:p>
      <w:pPr>
        <w:pStyle w:val="Style22"/>
        <w:numPr>
          <w:ilvl w:val="0"/>
          <w:numId w:val="17"/>
        </w:numPr>
        <w:widowControl w:val="0"/>
        <w:keepNext w:val="0"/>
        <w:keepLines w:val="0"/>
        <w:shd w:val="clear" w:color="auto" w:fill="auto"/>
        <w:bidi w:val="0"/>
        <w:jc w:val="both"/>
        <w:spacing w:before="0" w:after="0" w:line="274" w:lineRule="exact"/>
        <w:ind w:left="40" w:right="20" w:firstLine="0"/>
      </w:pPr>
      <w:r>
        <w:rPr>
          <w:rStyle w:val="CharStyle24"/>
        </w:rPr>
        <w:t xml:space="preserve"> Требования к обеспечению исполнения контракта,</w:t>
      </w:r>
      <w:r>
        <w:rPr>
          <w:lang w:val="ru-RU" w:eastAsia="ru-RU" w:bidi="ru-RU"/>
          <w:w w:val="100"/>
          <w:spacing w:val="0"/>
          <w:color w:val="000000"/>
          <w:position w:val="0"/>
        </w:rPr>
        <w:t xml:space="preserve"> </w:t>
      </w:r>
      <w:r>
        <w:rPr>
          <w:rStyle w:val="CharStyle24"/>
        </w:rPr>
        <w:t>предоставляемому в виде денежных средств</w:t>
      </w:r>
      <w:r>
        <w:rPr>
          <w:lang w:val="ru-RU" w:eastAsia="ru-RU" w:bidi="ru-RU"/>
          <w:w w:val="100"/>
          <w:spacing w:val="0"/>
          <w:color w:val="000000"/>
          <w:position w:val="0"/>
        </w:rPr>
        <w:t>:</w:t>
      </w:r>
    </w:p>
    <w:p>
      <w:pPr>
        <w:pStyle w:val="Style22"/>
        <w:numPr>
          <w:ilvl w:val="0"/>
          <w:numId w:val="19"/>
        </w:numPr>
        <w:widowControl w:val="0"/>
        <w:keepNext w:val="0"/>
        <w:keepLines w:val="0"/>
        <w:shd w:val="clear" w:color="auto" w:fill="auto"/>
        <w:bidi w:val="0"/>
        <w:jc w:val="both"/>
        <w:spacing w:before="0" w:after="0" w:line="274" w:lineRule="exact"/>
        <w:ind w:left="40" w:right="20" w:firstLine="620"/>
      </w:pPr>
      <w:r>
        <w:rPr>
          <w:lang w:val="ru-RU" w:eastAsia="ru-RU" w:bidi="ru-RU"/>
          <w:w w:val="100"/>
          <w:spacing w:val="0"/>
          <w:color w:val="000000"/>
          <w:position w:val="0"/>
        </w:rPr>
        <w:t xml:space="preserve"> Денежные средства, вносимые в обеспечение исполнения контракта, должны быть перечислены в размере и по реквизитам, установленном в пункте 40 настоящей документацией об аукционе;</w:t>
      </w:r>
    </w:p>
    <w:p>
      <w:pPr>
        <w:pStyle w:val="Style22"/>
        <w:numPr>
          <w:ilvl w:val="0"/>
          <w:numId w:val="19"/>
        </w:numPr>
        <w:widowControl w:val="0"/>
        <w:keepNext w:val="0"/>
        <w:keepLines w:val="0"/>
        <w:shd w:val="clear" w:color="auto" w:fill="auto"/>
        <w:bidi w:val="0"/>
        <w:jc w:val="both"/>
        <w:spacing w:before="0" w:after="0" w:line="274" w:lineRule="exact"/>
        <w:ind w:left="40" w:right="20" w:firstLine="620"/>
      </w:pPr>
      <w:r>
        <w:rPr>
          <w:lang w:val="ru-RU" w:eastAsia="ru-RU" w:bidi="ru-RU"/>
          <w:w w:val="100"/>
          <w:spacing w:val="0"/>
          <w:color w:val="000000"/>
          <w:position w:val="0"/>
        </w:rPr>
        <w:t xml:space="preserve"> 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V «ПРОЕКТ КОНТРАКТА») </w:t>
      </w:r>
      <w:r>
        <w:rPr>
          <w:rStyle w:val="CharStyle27"/>
        </w:rPr>
        <w:t>(пример: В течение 3 (трех) рабочих дней со дня получения заказчиком соответствующего письменного требования поставщика (подрядчика, исполнителя));</w:t>
      </w:r>
      <w:r>
        <w:rPr>
          <w:lang w:val="ru-RU" w:eastAsia="ru-RU" w:bidi="ru-RU"/>
          <w:w w:val="100"/>
          <w:spacing w:val="0"/>
          <w:color w:val="000000"/>
          <w:position w:val="0"/>
        </w:rPr>
        <w:t xml:space="preserve"> денежные средства возвращаются по реквизитам, указанным поставщиком (подрядчиком, исполнителем) в письменном требовании.</w:t>
      </w:r>
    </w:p>
    <w:p>
      <w:pPr>
        <w:pStyle w:val="Style22"/>
        <w:numPr>
          <w:ilvl w:val="0"/>
          <w:numId w:val="17"/>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pPr>
        <w:pStyle w:val="Style22"/>
        <w:numPr>
          <w:ilvl w:val="0"/>
          <w:numId w:val="17"/>
        </w:numPr>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 xml:space="preserve"> Положения настоящей документации об обеспечении исполнения контракта не применяются в случае:</w:t>
      </w:r>
    </w:p>
    <w:p>
      <w:pPr>
        <w:pStyle w:val="Style22"/>
        <w:widowControl w:val="0"/>
        <w:keepNext w:val="0"/>
        <w:keepLines w:val="0"/>
        <w:shd w:val="clear" w:color="auto" w:fill="auto"/>
        <w:bidi w:val="0"/>
        <w:jc w:val="both"/>
        <w:spacing w:before="0" w:after="0" w:line="274" w:lineRule="exact"/>
        <w:ind w:left="40" w:right="20" w:firstLine="620"/>
        <w:sectPr>
          <w:type w:val="continuous"/>
          <w:pgSz w:w="11906" w:h="16838"/>
          <w:pgMar w:top="1481" w:left="4367" w:right="700" w:bottom="631" w:header="0" w:footer="3" w:gutter="0"/>
          <w:rtlGutter w:val="0"/>
          <w:cols w:space="720"/>
          <w:noEndnote/>
          <w:docGrid w:linePitch="360"/>
        </w:sectPr>
      </w:pPr>
      <w:r>
        <w:rPr>
          <w:lang w:val="ru-RU" w:eastAsia="ru-RU" w:bidi="ru-RU"/>
          <w:w w:val="100"/>
          <w:spacing w:val="0"/>
          <w:color w:val="000000"/>
          <w:position w:val="0"/>
        </w:rPr>
        <w:t xml:space="preserve">1) Заключения контракта с участником закупки, который </w:t>
      </w:r>
      <w:r>
        <w:rPr>
          <w:rStyle w:val="CharStyle24"/>
        </w:rPr>
        <w:t>является государственным или муниципальным казенным</w:t>
      </w:r>
    </w:p>
    <w:tbl>
      <w:tblPr>
        <w:tblOverlap w:val="never"/>
        <w:tblLayout w:type="fixed"/>
        <w:jc w:val="center"/>
      </w:tblPr>
      <w:tblGrid>
        <w:gridCol w:w="677"/>
        <w:gridCol w:w="3014"/>
        <w:gridCol w:w="7037"/>
      </w:tblGrid>
      <w:tr>
        <w:trPr>
          <w:trHeight w:val="283"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пун</w:t>
            </w:r>
          </w:p>
        </w:tc>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Наименование</w:t>
            </w:r>
          </w:p>
        </w:tc>
        <w:tc>
          <w:tcPr>
            <w:shd w:val="clear" w:color="auto" w:fill="FFFFFF"/>
            <w:tcBorders>
              <w:left w:val="single" w:sz="4"/>
              <w:righ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Информация</w:t>
            </w: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кта</w:t>
            </w:r>
          </w:p>
        </w:tc>
        <w:tc>
          <w:tcPr>
            <w:shd w:val="clear" w:color="auto" w:fill="FFFFFF"/>
            <w:tcBorders>
              <w:left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728" w:wrap="notBeside" w:vAnchor="text" w:hAnchor="text" w:xAlign="center" w:y="1"/>
              <w:widowControl w:val="0"/>
              <w:rPr>
                <w:sz w:val="10"/>
                <w:szCs w:val="10"/>
              </w:rPr>
            </w:pPr>
          </w:p>
        </w:tc>
      </w:tr>
      <w:tr>
        <w:trPr>
          <w:trHeight w:val="1392" w:hRule="exact"/>
        </w:trPr>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1"/>
              </w:rPr>
              <w:t>учреждением;</w:t>
            </w:r>
          </w:p>
          <w:p>
            <w:pPr>
              <w:pStyle w:val="Style7"/>
              <w:numPr>
                <w:ilvl w:val="0"/>
                <w:numId w:val="21"/>
              </w:numPr>
              <w:framePr w:w="10728" w:wrap="notBeside" w:vAnchor="text" w:hAnchor="text" w:xAlign="center" w:y="1"/>
              <w:tabs>
                <w:tab w:leader="none" w:pos="1109" w:val="left"/>
              </w:tabs>
              <w:widowControl w:val="0"/>
              <w:keepNext w:val="0"/>
              <w:keepLines w:val="0"/>
              <w:shd w:val="clear" w:color="auto" w:fill="auto"/>
              <w:bidi w:val="0"/>
              <w:jc w:val="left"/>
              <w:spacing w:before="0" w:after="0" w:line="274" w:lineRule="exact"/>
              <w:ind w:left="120" w:right="0" w:firstLine="600"/>
            </w:pPr>
            <w:r>
              <w:rPr>
                <w:rStyle w:val="CharStyle21"/>
              </w:rPr>
              <w:t>Осуществления закупки услуги по предоставлению кредита;</w:t>
            </w:r>
          </w:p>
          <w:p>
            <w:pPr>
              <w:pStyle w:val="Style7"/>
              <w:numPr>
                <w:ilvl w:val="0"/>
                <w:numId w:val="21"/>
              </w:numPr>
              <w:framePr w:w="10728" w:wrap="notBeside" w:vAnchor="text" w:hAnchor="text" w:xAlign="center" w:y="1"/>
              <w:tabs>
                <w:tab w:leader="none" w:pos="1190" w:val="left"/>
              </w:tabs>
              <w:widowControl w:val="0"/>
              <w:keepNext w:val="0"/>
              <w:keepLines w:val="0"/>
              <w:shd w:val="clear" w:color="auto" w:fill="auto"/>
              <w:bidi w:val="0"/>
              <w:jc w:val="left"/>
              <w:spacing w:before="0" w:after="0" w:line="274" w:lineRule="exact"/>
              <w:ind w:left="120" w:right="0" w:firstLine="600"/>
            </w:pPr>
            <w:r>
              <w:rPr>
                <w:rStyle w:val="CharStyle21"/>
              </w:rPr>
              <w:t>Заключения бюджетным учреждением контракта, предметом которого является выдача банковской гарантии.</w:t>
            </w:r>
          </w:p>
        </w:tc>
      </w:tr>
      <w:tr>
        <w:trPr>
          <w:trHeight w:val="346"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3058" w:hRule="exact"/>
        </w:trPr>
        <w:tc>
          <w:tcPr>
            <w:shd w:val="clear" w:color="auto" w:fill="FFFFFF"/>
            <w:tcBorders>
              <w:lef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1"/>
              </w:rPr>
              <w:t>6.</w:t>
            </w:r>
          </w:p>
        </w:tc>
        <w:tc>
          <w:tcPr>
            <w:shd w:val="clear" w:color="auto" w:fill="FFFFFF"/>
            <w:tcBorders>
              <w:lef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1"/>
              </w:rPr>
              <w:t>Реквизиты счета для внесения обеспечения исполнения контракта (в случае, если участник закупки выбрал обеспечение исполнения контракта в виде перечисления денежных средств)</w:t>
            </w:r>
          </w:p>
        </w:tc>
        <w:tc>
          <w:tcPr>
            <w:shd w:val="clear" w:color="auto" w:fill="FFFFFF"/>
            <w:tcBorders>
              <w:left w:val="single" w:sz="4"/>
              <w:right w:val="single" w:sz="4"/>
              <w:top w:val="single" w:sz="4"/>
              <w:bottom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1"/>
              </w:rPr>
              <w:t>Получатель: Государственное бюджетное учреждение здравоохранения</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Республики Крым «Джанкойская центральная районная больница»</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Наименование банка: УФК по Республике Крым</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Расчетный счет: 40601810035101000001</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Лицевой счет: 20756Щ93840</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БИК: 043510001</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ИНН: 9105006736</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КПП: 910501001</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КБК00000000000000000510</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Назначение платежа: Средства для обеспечения исполнения контракта в соответствии с Протоколом проведения итогов электронного аукциона № от « » 201 года. НДС не облагается.</w:t>
            </w:r>
          </w:p>
        </w:tc>
      </w:tr>
    </w:tbl>
    <w:p>
      <w:pPr>
        <w:pStyle w:val="Style15"/>
        <w:framePr w:w="10728"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документации об Аукционе).</w:t>
      </w:r>
    </w:p>
    <w:p>
      <w:pPr>
        <w:widowControl w:val="0"/>
        <w:rPr>
          <w:sz w:val="2"/>
          <w:szCs w:val="2"/>
        </w:rPr>
      </w:pPr>
    </w:p>
    <w:p>
      <w:pPr>
        <w:pStyle w:val="Style7"/>
        <w:widowControl w:val="0"/>
        <w:keepNext w:val="0"/>
        <w:keepLines w:val="0"/>
        <w:shd w:val="clear" w:color="auto" w:fill="auto"/>
        <w:bidi w:val="0"/>
        <w:jc w:val="both"/>
        <w:spacing w:before="0" w:after="0"/>
        <w:ind w:left="300" w:right="260" w:firstLine="860"/>
      </w:pPr>
      <w:r>
        <w:rPr>
          <w:lang w:val="ru-RU" w:eastAsia="ru-RU" w:bidi="ru-RU"/>
          <w:w w:val="100"/>
          <w:spacing w:val="0"/>
          <w:color w:val="000000"/>
          <w:position w:val="0"/>
        </w:rPr>
        <w:t>Изучив документацию об Аукционе Комиссия установила в данной документации требования к порядку внесения обеспечения исполнения контракта в виде денежных средств (отсутствуют реквизиты счета).</w:t>
      </w:r>
    </w:p>
    <w:p>
      <w:pPr>
        <w:pStyle w:val="Style7"/>
        <w:widowControl w:val="0"/>
        <w:keepNext w:val="0"/>
        <w:keepLines w:val="0"/>
        <w:shd w:val="clear" w:color="auto" w:fill="auto"/>
        <w:bidi w:val="0"/>
        <w:jc w:val="both"/>
        <w:spacing w:before="0" w:after="0"/>
        <w:ind w:left="30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widowControl w:val="0"/>
        <w:keepNext w:val="0"/>
        <w:keepLines w:val="0"/>
        <w:shd w:val="clear" w:color="auto" w:fill="auto"/>
        <w:bidi w:val="0"/>
        <w:jc w:val="both"/>
        <w:spacing w:before="0" w:after="180"/>
        <w:ind w:left="300" w:right="260" w:firstLine="860"/>
      </w:pPr>
      <w:r>
        <w:rPr>
          <w:lang w:val="ru-RU" w:eastAsia="ru-RU" w:bidi="ru-RU"/>
          <w:w w:val="100"/>
          <w:spacing w:val="0"/>
          <w:color w:val="000000"/>
          <w:position w:val="0"/>
        </w:rPr>
        <w:t>Вместе с тем, Комиссия приходит к выводу, что Заказчиком в извещении о проведении Аукциона не указана информация о порядке предоставления обеспечения исполнения контракта, требования к такому обеспечению, что нарушает требования пункта 8 статьи 42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numPr>
          <w:ilvl w:val="0"/>
          <w:numId w:val="9"/>
        </w:numPr>
        <w:tabs>
          <w:tab w:leader="none" w:pos="1477" w:val="left"/>
        </w:tabs>
        <w:widowControl w:val="0"/>
        <w:keepNext w:val="0"/>
        <w:keepLines w:val="0"/>
        <w:shd w:val="clear" w:color="auto" w:fill="auto"/>
        <w:bidi w:val="0"/>
        <w:jc w:val="both"/>
        <w:spacing w:before="0" w:after="0"/>
        <w:ind w:left="300" w:right="260" w:firstLine="860"/>
      </w:pPr>
      <w:r>
        <w:rPr>
          <w:lang w:val="ru-RU" w:eastAsia="ru-RU" w:bidi="ru-RU"/>
          <w:w w:val="100"/>
          <w:spacing w:val="0"/>
          <w:color w:val="000000"/>
          <w:position w:val="0"/>
        </w:rPr>
        <w:t>В качестве довода жалобы Заявитель указывает на то, что в документации об Аукционе Заказчиком установлено необоснованное требование о предоставлении во вторых частях заявок участников Аукциона декларации о принадлежности участника Аукциона к субъектам малого предпринимательства или социально ориентированным некоммерческим организациям.</w:t>
      </w:r>
    </w:p>
    <w:p>
      <w:pPr>
        <w:pStyle w:val="Style7"/>
        <w:widowControl w:val="0"/>
        <w:keepNext w:val="0"/>
        <w:keepLines w:val="0"/>
        <w:shd w:val="clear" w:color="auto" w:fill="auto"/>
        <w:bidi w:val="0"/>
        <w:jc w:val="both"/>
        <w:spacing w:before="0" w:after="0"/>
        <w:ind w:left="300" w:right="26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300" w:right="260" w:firstLine="860"/>
      </w:pPr>
      <w:r>
        <w:rPr>
          <w:lang w:val="ru-RU" w:eastAsia="ru-RU" w:bidi="ru-RU"/>
          <w:w w:val="100"/>
          <w:spacing w:val="0"/>
          <w:color w:val="000000"/>
          <w:position w:val="0"/>
        </w:rPr>
        <w:t>Согласно пункту 7 части 5 статьи 66 Закона о контрактной системе вторая часть заявки на участие в электронном аукционе должна содержать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pPr>
        <w:pStyle w:val="Style7"/>
        <w:widowControl w:val="0"/>
        <w:keepNext w:val="0"/>
        <w:keepLines w:val="0"/>
        <w:shd w:val="clear" w:color="auto" w:fill="auto"/>
        <w:bidi w:val="0"/>
        <w:jc w:val="both"/>
        <w:spacing w:before="0" w:after="0"/>
        <w:ind w:left="300" w:right="260" w:firstLine="860"/>
      </w:pPr>
      <w:r>
        <w:rPr>
          <w:lang w:val="ru-RU" w:eastAsia="ru-RU" w:bidi="ru-RU"/>
          <w:w w:val="100"/>
          <w:spacing w:val="0"/>
          <w:color w:val="000000"/>
          <w:position w:val="0"/>
        </w:rPr>
        <w:t>В соответствии с частью 3 статьи 30 Закона о контрактной системе при определении поставщиков (подрядчиков, исполнителей) способами, указанными в части 1 статьи 30 Закона о контрактной системе,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7"/>
        <w:tabs>
          <w:tab w:leader="underscore" w:pos="1356" w:val="right"/>
          <w:tab w:leader="none" w:pos="1501" w:val="left"/>
        </w:tabs>
        <w:widowControl w:val="0"/>
        <w:keepNext w:val="0"/>
        <w:keepLines w:val="0"/>
        <w:shd w:val="clear" w:color="auto" w:fill="auto"/>
        <w:bidi w:val="0"/>
        <w:jc w:val="both"/>
        <w:spacing w:before="0" w:after="0"/>
        <w:ind w:left="300" w:right="0" w:firstLine="0"/>
      </w:pPr>
      <w:r>
        <w:rPr>
          <w:lang w:val="ru-RU" w:eastAsia="ru-RU" w:bidi="ru-RU"/>
          <w:w w:val="100"/>
          <w:spacing w:val="0"/>
          <w:color w:val="000000"/>
          <w:position w:val="0"/>
        </w:rPr>
        <w:tab/>
      </w:r>
      <w:r>
        <w:rPr>
          <w:rStyle w:val="CharStyle28"/>
        </w:rPr>
        <w:t>В</w:t>
        <w:tab/>
        <w:t>извещении о проведении Аукц</w:t>
      </w:r>
      <w:r>
        <w:rPr>
          <w:lang w:val="ru-RU" w:eastAsia="ru-RU" w:bidi="ru-RU"/>
          <w:w w:val="100"/>
          <w:spacing w:val="0"/>
          <w:color w:val="000000"/>
          <w:position w:val="0"/>
        </w:rPr>
        <w:t>иона Заказчик указал:«...</w:t>
      </w:r>
    </w:p>
    <w:tbl>
      <w:tblPr>
        <w:tblOverlap w:val="never"/>
        <w:tblLayout w:type="fixed"/>
        <w:jc w:val="left"/>
      </w:tblPr>
      <w:tblGrid>
        <w:gridCol w:w="4795"/>
        <w:gridCol w:w="1766"/>
      </w:tblGrid>
      <w:tr>
        <w:trPr>
          <w:trHeight w:val="658" w:hRule="exact"/>
        </w:trPr>
        <w:tc>
          <w:tcPr>
            <w:shd w:val="clear" w:color="auto" w:fill="FFFFFF"/>
            <w:tcBorders>
              <w:left w:val="single" w:sz="4"/>
              <w:top w:val="single" w:sz="4"/>
            </w:tcBorders>
            <w:vAlign w:val="bottom"/>
          </w:tcPr>
          <w:p>
            <w:pPr>
              <w:pStyle w:val="Style7"/>
              <w:framePr w:w="6562" w:wrap="notBeside" w:vAnchor="text" w:hAnchor="text" w:y="1"/>
              <w:widowControl w:val="0"/>
              <w:keepNext w:val="0"/>
              <w:keepLines w:val="0"/>
              <w:shd w:val="clear" w:color="auto" w:fill="auto"/>
              <w:bidi w:val="0"/>
              <w:jc w:val="left"/>
              <w:spacing w:before="0" w:after="0" w:line="274" w:lineRule="exact"/>
              <w:ind w:left="60" w:right="0" w:firstLine="0"/>
            </w:pPr>
            <w:r>
              <w:rPr>
                <w:rStyle w:val="CharStyle20"/>
              </w:rPr>
              <w:t>Преимущества и требования к участникам</w:t>
            </w:r>
          </w:p>
        </w:tc>
        <w:tc>
          <w:tcPr>
            <w:shd w:val="clear" w:color="auto" w:fill="FFFFFF"/>
            <w:tcBorders>
              <w:left w:val="single" w:sz="4"/>
            </w:tcBorders>
            <w:vAlign w:val="top"/>
          </w:tcPr>
          <w:p>
            <w:pPr>
              <w:framePr w:w="6562" w:wrap="notBeside" w:vAnchor="text" w:hAnchor="text" w:y="1"/>
              <w:widowControl w:val="0"/>
              <w:rPr>
                <w:sz w:val="10"/>
                <w:szCs w:val="10"/>
              </w:rPr>
            </w:pPr>
          </w:p>
        </w:tc>
      </w:tr>
      <w:tr>
        <w:trPr>
          <w:trHeight w:val="355" w:hRule="exact"/>
        </w:trPr>
        <w:tc>
          <w:tcPr>
            <w:shd w:val="clear" w:color="auto" w:fill="FFFFFF"/>
            <w:tcBorders>
              <w:left w:val="single" w:sz="4"/>
              <w:top w:val="single" w:sz="4"/>
            </w:tcBorders>
            <w:vAlign w:val="bottom"/>
          </w:tcPr>
          <w:p>
            <w:pPr>
              <w:pStyle w:val="Style7"/>
              <w:framePr w:w="6562" w:wrap="notBeside" w:vAnchor="text" w:hAnchor="text" w:y="1"/>
              <w:widowControl w:val="0"/>
              <w:keepNext w:val="0"/>
              <w:keepLines w:val="0"/>
              <w:shd w:val="clear" w:color="auto" w:fill="auto"/>
              <w:bidi w:val="0"/>
              <w:jc w:val="left"/>
              <w:spacing w:before="0" w:after="0" w:line="220" w:lineRule="exact"/>
              <w:ind w:left="60" w:right="0" w:firstLine="0"/>
            </w:pPr>
            <w:r>
              <w:rPr>
                <w:rStyle w:val="CharStyle21"/>
              </w:rPr>
              <w:t>Преимущества</w:t>
            </w:r>
          </w:p>
        </w:tc>
        <w:tc>
          <w:tcPr>
            <w:shd w:val="clear" w:color="auto" w:fill="FFFFFF"/>
            <w:tcBorders>
              <w:left w:val="single" w:sz="4"/>
              <w:right w:val="single" w:sz="4"/>
              <w:top w:val="single" w:sz="4"/>
            </w:tcBorders>
            <w:vAlign w:val="bottom"/>
          </w:tcPr>
          <w:p>
            <w:pPr>
              <w:pStyle w:val="Style7"/>
              <w:framePr w:w="6562" w:wrap="notBeside" w:vAnchor="text" w:hAnchor="text" w:y="1"/>
              <w:widowControl w:val="0"/>
              <w:keepNext w:val="0"/>
              <w:keepLines w:val="0"/>
              <w:shd w:val="clear" w:color="auto" w:fill="auto"/>
              <w:bidi w:val="0"/>
              <w:jc w:val="left"/>
              <w:spacing w:before="0" w:after="0" w:line="220" w:lineRule="exact"/>
              <w:ind w:left="60" w:right="0" w:firstLine="0"/>
            </w:pPr>
            <w:r>
              <w:rPr>
                <w:rStyle w:val="CharStyle21"/>
              </w:rPr>
              <w:t>Не установлены</w:t>
            </w:r>
          </w:p>
        </w:tc>
      </w:tr>
      <w:tr>
        <w:trPr>
          <w:trHeight w:val="360" w:hRule="exact"/>
        </w:trPr>
        <w:tc>
          <w:tcPr>
            <w:shd w:val="clear" w:color="auto" w:fill="FFFFFF"/>
            <w:tcBorders>
              <w:left w:val="single" w:sz="4"/>
              <w:top w:val="single" w:sz="4"/>
            </w:tcBorders>
            <w:vAlign w:val="top"/>
          </w:tcPr>
          <w:p>
            <w:pPr>
              <w:framePr w:w="6562" w:wrap="notBeside" w:vAnchor="text" w:hAnchor="text" w:y="1"/>
              <w:widowControl w:val="0"/>
              <w:rPr>
                <w:sz w:val="10"/>
                <w:szCs w:val="10"/>
              </w:rPr>
            </w:pPr>
          </w:p>
        </w:tc>
        <w:tc>
          <w:tcPr>
            <w:shd w:val="clear" w:color="auto" w:fill="FFFFFF"/>
            <w:tcBorders>
              <w:left w:val="single" w:sz="4"/>
              <w:right w:val="single" w:sz="4"/>
              <w:top w:val="single" w:sz="4"/>
            </w:tcBorders>
            <w:vAlign w:val="top"/>
          </w:tcPr>
          <w:p>
            <w:pPr>
              <w:framePr w:w="6562" w:wrap="notBeside" w:vAnchor="text" w:hAnchor="text" w:y="1"/>
              <w:widowControl w:val="0"/>
              <w:rPr>
                <w:sz w:val="10"/>
                <w:szCs w:val="10"/>
              </w:rPr>
            </w:pPr>
          </w:p>
        </w:tc>
      </w:tr>
      <w:tr>
        <w:trPr>
          <w:trHeight w:val="384" w:hRule="exact"/>
        </w:trPr>
        <w:tc>
          <w:tcPr>
            <w:shd w:val="clear" w:color="auto" w:fill="FFFFFF"/>
            <w:tcBorders>
              <w:left w:val="single" w:sz="4"/>
              <w:top w:val="single" w:sz="4"/>
              <w:bottom w:val="single" w:sz="4"/>
            </w:tcBorders>
            <w:vAlign w:val="bottom"/>
          </w:tcPr>
          <w:p>
            <w:pPr>
              <w:pStyle w:val="Style7"/>
              <w:framePr w:w="6562" w:wrap="notBeside" w:vAnchor="text" w:hAnchor="text" w:y="1"/>
              <w:widowControl w:val="0"/>
              <w:keepNext w:val="0"/>
              <w:keepLines w:val="0"/>
              <w:shd w:val="clear" w:color="auto" w:fill="auto"/>
              <w:bidi w:val="0"/>
              <w:jc w:val="left"/>
              <w:spacing w:before="0" w:after="0" w:line="220" w:lineRule="exact"/>
              <w:ind w:left="60" w:right="0" w:firstLine="0"/>
            </w:pPr>
            <w:r>
              <w:rPr>
                <w:rStyle w:val="CharStyle21"/>
              </w:rPr>
              <w:t>Ограничения и запреты</w:t>
            </w:r>
          </w:p>
        </w:tc>
        <w:tc>
          <w:tcPr>
            <w:shd w:val="clear" w:color="auto" w:fill="FFFFFF"/>
            <w:tcBorders>
              <w:left w:val="single" w:sz="4"/>
              <w:right w:val="single" w:sz="4"/>
              <w:top w:val="single" w:sz="4"/>
              <w:bottom w:val="single" w:sz="4"/>
            </w:tcBorders>
            <w:vAlign w:val="bottom"/>
          </w:tcPr>
          <w:p>
            <w:pPr>
              <w:pStyle w:val="Style7"/>
              <w:framePr w:w="6562" w:wrap="notBeside" w:vAnchor="text" w:hAnchor="text" w:y="1"/>
              <w:widowControl w:val="0"/>
              <w:keepNext w:val="0"/>
              <w:keepLines w:val="0"/>
              <w:shd w:val="clear" w:color="auto" w:fill="auto"/>
              <w:bidi w:val="0"/>
              <w:jc w:val="left"/>
              <w:spacing w:before="0" w:after="0" w:line="220" w:lineRule="exact"/>
              <w:ind w:left="60" w:right="0" w:firstLine="0"/>
            </w:pPr>
            <w:r>
              <w:rPr>
                <w:rStyle w:val="CharStyle21"/>
              </w:rPr>
              <w:t>Не установлены</w:t>
            </w:r>
          </w:p>
        </w:tc>
      </w:tr>
    </w:tbl>
    <w:p>
      <w:pPr>
        <w:pStyle w:val="Style15"/>
        <w:framePr w:w="6562" w:wrap="notBeside" w:vAnchor="text" w:hAnchor="text" w:y="1"/>
        <w:widowControl w:val="0"/>
        <w:keepNext w:val="0"/>
        <w:keepLines w:val="0"/>
        <w:shd w:val="clear" w:color="auto" w:fill="auto"/>
        <w:bidi w:val="0"/>
        <w:jc w:val="left"/>
        <w:spacing w:before="0" w:after="0" w:line="260" w:lineRule="exact"/>
        <w:ind w:left="0" w:right="0" w:firstLine="0"/>
      </w:pPr>
      <w:r>
        <w:rPr>
          <w:rStyle w:val="CharStyle29"/>
        </w:rPr>
        <w:t>...»</w:t>
      </w:r>
      <w:r>
        <w:rPr>
          <w:lang w:val="ru-RU" w:eastAsia="ru-RU" w:bidi="ru-RU"/>
          <w:w w:val="100"/>
          <w:spacing w:val="0"/>
          <w:color w:val="000000"/>
          <w:position w:val="0"/>
        </w:rPr>
        <w:t xml:space="preserve"> (цитата извещения о проведении Аукциона).</w:t>
      </w:r>
    </w:p>
    <w:p>
      <w:pPr>
        <w:pStyle w:val="Style15"/>
        <w:framePr w:w="6562" w:wrap="notBeside" w:vAnchor="text" w:hAnchor="text" w:y="1"/>
        <w:widowControl w:val="0"/>
        <w:keepNext w:val="0"/>
        <w:keepLines w:val="0"/>
        <w:shd w:val="clear" w:color="auto" w:fill="auto"/>
        <w:bidi w:val="0"/>
        <w:jc w:val="left"/>
        <w:spacing w:before="0" w:after="0" w:line="283" w:lineRule="exact"/>
        <w:ind w:left="0" w:right="0" w:firstLine="0"/>
      </w:pPr>
      <w:r>
        <w:rPr>
          <w:lang w:val="ru-RU" w:eastAsia="ru-RU" w:bidi="ru-RU"/>
          <w:w w:val="100"/>
          <w:spacing w:val="0"/>
          <w:color w:val="000000"/>
          <w:position w:val="0"/>
        </w:rPr>
        <w:t xml:space="preserve">При этом в документации об Аукционе Заказчик установил: </w:t>
      </w:r>
      <w:r>
        <w:rPr>
          <w:rStyle w:val="CharStyle29"/>
        </w:rPr>
        <w:t>«...</w:t>
      </w:r>
    </w:p>
    <w:p>
      <w:pPr>
        <w:pStyle w:val="Style30"/>
        <w:framePr w:w="6562" w:wrap="notBeside" w:vAnchor="text" w:hAnchor="text" w:y="1"/>
        <w:widowControl w:val="0"/>
        <w:keepNext w:val="0"/>
        <w:keepLines w:val="0"/>
        <w:shd w:val="clear" w:color="auto" w:fill="auto"/>
        <w:bidi w:val="0"/>
        <w:spacing w:before="0" w:after="0"/>
        <w:ind w:left="0" w:right="0" w:firstLine="0"/>
      </w:pPr>
      <w:r>
        <w:rPr>
          <w:lang w:val="en-US" w:eastAsia="en-US" w:bidi="en-US"/>
          <w:w w:val="100"/>
          <w:spacing w:val="0"/>
          <w:color w:val="000000"/>
          <w:position w:val="0"/>
        </w:rPr>
        <w:t xml:space="preserve">II.III. </w:t>
      </w:r>
      <w:r>
        <w:rPr>
          <w:lang w:val="ru-RU" w:eastAsia="ru-RU" w:bidi="ru-RU"/>
          <w:w w:val="100"/>
          <w:spacing w:val="0"/>
          <w:color w:val="000000"/>
          <w:position w:val="0"/>
        </w:rPr>
        <w:t>ТРЕБОВАНИЯ К СОДЕРЖАНИЮ И СОСТАВУ ЗАЯВКИ НА УЧАСТ</w:t>
      </w:r>
      <w:r>
        <w:rPr>
          <w:rStyle w:val="CharStyle32"/>
          <w:b/>
          <w:bCs/>
        </w:rPr>
        <w:t>И</w:t>
      </w:r>
      <w:r>
        <w:rPr>
          <w:lang w:val="ru-RU" w:eastAsia="ru-RU" w:bidi="ru-RU"/>
          <w:w w:val="100"/>
          <w:spacing w:val="0"/>
          <w:color w:val="000000"/>
          <w:position w:val="0"/>
        </w:rPr>
        <w:t>Е В</w:t>
      </w:r>
    </w:p>
    <w:p>
      <w:pPr>
        <w:pStyle w:val="Style30"/>
        <w:framePr w:w="6562" w:wrap="notBeside" w:vAnchor="text" w:hAnchor="text"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ЭЛЕКТРОННОМ АУКЦИОНЕ</w:t>
      </w:r>
    </w:p>
    <w:p>
      <w:pPr>
        <w:widowControl w:val="0"/>
        <w:spacing w:line="180" w:lineRule="exact"/>
        <w:rPr>
          <w:sz w:val="2"/>
          <w:szCs w:val="2"/>
        </w:rPr>
      </w:pPr>
    </w:p>
    <w:tbl>
      <w:tblPr>
        <w:tblOverlap w:val="never"/>
        <w:tblLayout w:type="fixed"/>
        <w:jc w:val="center"/>
      </w:tblPr>
      <w:tblGrid>
        <w:gridCol w:w="677"/>
        <w:gridCol w:w="3014"/>
        <w:gridCol w:w="7037"/>
      </w:tblGrid>
      <w:tr>
        <w:trPr>
          <w:trHeight w:val="288"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20"/>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0"/>
              </w:rPr>
              <w:t>пун</w:t>
            </w:r>
          </w:p>
        </w:tc>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Наименование</w:t>
            </w:r>
          </w:p>
        </w:tc>
        <w:tc>
          <w:tcPr>
            <w:shd w:val="clear" w:color="auto" w:fill="FFFFFF"/>
            <w:tcBorders>
              <w:left w:val="single" w:sz="4"/>
              <w:righ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Информация</w:t>
            </w: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0"/>
              </w:rPr>
              <w:t>кта</w:t>
            </w:r>
          </w:p>
        </w:tc>
        <w:tc>
          <w:tcPr>
            <w:shd w:val="clear" w:color="auto" w:fill="FFFFFF"/>
            <w:tcBorders>
              <w:left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728" w:wrap="notBeside" w:vAnchor="text" w:hAnchor="text" w:xAlign="center" w:y="1"/>
              <w:widowControl w:val="0"/>
              <w:rPr>
                <w:sz w:val="10"/>
                <w:szCs w:val="10"/>
              </w:rPr>
            </w:pPr>
          </w:p>
        </w:tc>
      </w:tr>
      <w:tr>
        <w:trPr>
          <w:trHeight w:val="346" w:hRule="exact"/>
        </w:trPr>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562"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20"/>
              </w:rPr>
              <w:t>2.</w:t>
            </w:r>
          </w:p>
        </w:tc>
        <w:tc>
          <w:tcPr>
            <w:shd w:val="clear" w:color="auto" w:fill="FFFFFF"/>
            <w:gridSpan w:val="2"/>
            <w:tcBorders>
              <w:left w:val="single" w:sz="4"/>
              <w:right w:val="single" w:sz="4"/>
              <w:top w:val="single" w:sz="4"/>
            </w:tcBorders>
            <w:vAlign w:val="bottom"/>
          </w:tcPr>
          <w:p>
            <w:pPr>
              <w:pStyle w:val="Style7"/>
              <w:framePr w:w="1072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0"/>
              </w:rPr>
              <w:t xml:space="preserve">Вторая часть заявки </w:t>
            </w:r>
            <w:r>
              <w:rPr>
                <w:rStyle w:val="CharStyle21"/>
              </w:rPr>
              <w:t>на участие в электронном аукционе должна содержать следующие документы и информацию:</w:t>
            </w:r>
          </w:p>
        </w:tc>
      </w:tr>
      <w:tr>
        <w:trPr>
          <w:trHeight w:val="1123" w:hRule="exact"/>
        </w:trPr>
        <w:tc>
          <w:tcPr>
            <w:shd w:val="clear" w:color="auto" w:fill="FFFFFF"/>
            <w:tcBorders>
              <w:left w:val="single" w:sz="4"/>
              <w:top w:val="single" w:sz="4"/>
              <w:bottom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728"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1"/>
              </w:rPr>
              <w:t xml:space="preserve">7) декларация о принадлежности участника закупки к субъектам малого предпринимательства или социально ориентированным некоммерческим организациям </w:t>
            </w:r>
            <w:r>
              <w:rPr>
                <w:rStyle w:val="CharStyle20"/>
              </w:rPr>
              <w:t>требуется.</w:t>
            </w:r>
          </w:p>
        </w:tc>
      </w:tr>
    </w:tbl>
    <w:p>
      <w:pPr>
        <w:pStyle w:val="Style15"/>
        <w:framePr w:w="10728"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9"/>
        </w:rPr>
        <w:t>.»</w:t>
      </w:r>
      <w:r>
        <w:rPr>
          <w:lang w:val="ru-RU" w:eastAsia="ru-RU" w:bidi="ru-RU"/>
          <w:w w:val="100"/>
          <w:spacing w:val="0"/>
          <w:color w:val="000000"/>
          <w:position w:val="0"/>
        </w:rPr>
        <w:t xml:space="preserve"> (цитата документации об Аукционе).</w:t>
      </w:r>
    </w:p>
    <w:p>
      <w:pPr>
        <w:widowControl w:val="0"/>
        <w:rPr>
          <w:sz w:val="2"/>
          <w:szCs w:val="2"/>
        </w:rPr>
      </w:pPr>
    </w:p>
    <w:p>
      <w:pPr>
        <w:pStyle w:val="Style7"/>
        <w:widowControl w:val="0"/>
        <w:keepNext w:val="0"/>
        <w:keepLines w:val="0"/>
        <w:shd w:val="clear" w:color="auto" w:fill="auto"/>
        <w:bidi w:val="0"/>
        <w:jc w:val="both"/>
        <w:spacing w:before="0" w:after="0"/>
        <w:ind w:left="300" w:right="260" w:firstLine="860"/>
      </w:pPr>
      <w:r>
        <w:rPr>
          <w:lang w:val="ru-RU" w:eastAsia="ru-RU" w:bidi="ru-RU"/>
          <w:w w:val="100"/>
          <w:spacing w:val="0"/>
          <w:color w:val="000000"/>
          <w:position w:val="0"/>
        </w:rPr>
        <w:t>На основании изложенного, Комиссия приходит к выводу, что данные действия Заказчика, установившем необоснованное требование о предоставлении во вторых частях заявок участников Аукциона декларации о принадлежности участника Аукциона к субъектам малого предпринимательства или социально ориентированным некоммерческим организациям, нарушают пункта 2 части 1 статьи 64, пункта 7 части 5 статьи 66 Закона о контрактной системе и содержат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ind w:left="30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9"/>
        </w:numPr>
        <w:tabs>
          <w:tab w:leader="none" w:pos="1477" w:val="left"/>
        </w:tabs>
        <w:widowControl w:val="0"/>
        <w:keepNext w:val="0"/>
        <w:keepLines w:val="0"/>
        <w:shd w:val="clear" w:color="auto" w:fill="auto"/>
        <w:bidi w:val="0"/>
        <w:jc w:val="both"/>
        <w:spacing w:before="0" w:after="0"/>
        <w:ind w:left="300" w:right="240" w:firstLine="860"/>
      </w:pPr>
      <w:r>
        <w:rPr>
          <w:lang w:val="ru-RU" w:eastAsia="ru-RU" w:bidi="ru-RU"/>
          <w:w w:val="100"/>
          <w:spacing w:val="0"/>
          <w:color w:val="000000"/>
          <w:position w:val="0"/>
        </w:rPr>
        <w:t>В качестве довода жалобы Заявитель указывает на то, что в извещении о проведении Аукционе Заказчиком не установлено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7"/>
        <w:widowControl w:val="0"/>
        <w:keepNext w:val="0"/>
        <w:keepLines w:val="0"/>
        <w:shd w:val="clear" w:color="auto" w:fill="auto"/>
        <w:bidi w:val="0"/>
        <w:jc w:val="both"/>
        <w:spacing w:before="0" w:after="0"/>
        <w:ind w:left="300" w:right="240" w:firstLine="860"/>
      </w:pPr>
      <w:r>
        <w:rPr>
          <w:rStyle w:val="CharStyle14"/>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r>
        <w:rPr>
          <w:lang w:val="ru-RU" w:eastAsia="ru-RU" w:bidi="ru-RU"/>
          <w:w w:val="100"/>
          <w:spacing w:val="0"/>
          <w:color w:val="000000"/>
          <w:position w:val="0"/>
        </w:rPr>
        <w:t>.</w:t>
      </w:r>
    </w:p>
    <w:p>
      <w:pPr>
        <w:pStyle w:val="Style7"/>
        <w:widowControl w:val="0"/>
        <w:keepNext w:val="0"/>
        <w:keepLines w:val="0"/>
        <w:shd w:val="clear" w:color="auto" w:fill="auto"/>
        <w:bidi w:val="0"/>
        <w:jc w:val="both"/>
        <w:spacing w:before="0" w:after="0"/>
        <w:ind w:left="300" w:right="240" w:firstLine="860"/>
      </w:pPr>
      <w:r>
        <w:rPr>
          <w:lang w:val="ru-RU" w:eastAsia="ru-RU" w:bidi="ru-RU"/>
          <w:w w:val="100"/>
          <w:spacing w:val="0"/>
          <w:color w:val="000000"/>
          <w:position w:val="0"/>
        </w:rPr>
        <w:t>В силу пункта 6 части 5 стати 63 Закона о контрактной системе в извещении о проведении электронного аукциона наряду с информацией, указанной в статье 42 Закона о контрактной системе, указываются: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pPr>
        <w:pStyle w:val="Style7"/>
        <w:widowControl w:val="0"/>
        <w:keepNext w:val="0"/>
        <w:keepLines w:val="0"/>
        <w:shd w:val="clear" w:color="auto" w:fill="auto"/>
        <w:bidi w:val="0"/>
        <w:jc w:val="both"/>
        <w:spacing w:before="0" w:after="0"/>
        <w:ind w:left="300" w:right="240" w:firstLine="860"/>
      </w:pPr>
      <w:r>
        <w:rPr>
          <w:lang w:val="ru-RU" w:eastAsia="ru-RU" w:bidi="ru-RU"/>
          <w:w w:val="100"/>
          <w:spacing w:val="0"/>
          <w:color w:val="000000"/>
          <w:position w:val="0"/>
        </w:rPr>
        <w:t>В соответствии с частью 1.1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15"/>
        <w:framePr w:w="10330"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На заседании Комиссии, установлено, что в извещении о проведении </w:t>
      </w:r>
      <w:r>
        <w:rPr>
          <w:rStyle w:val="CharStyle17"/>
        </w:rPr>
        <w:t xml:space="preserve">Аукциона Заказчик указал: </w:t>
      </w:r>
      <w:r>
        <w:rPr>
          <w:rStyle w:val="CharStyle33"/>
        </w:rPr>
        <w:t>«</w:t>
      </w:r>
      <w:r>
        <w:rPr>
          <w:rStyle w:val="CharStyle29"/>
        </w:rPr>
        <w:t>...</w:t>
      </w:r>
    </w:p>
    <w:tbl>
      <w:tblPr>
        <w:tblOverlap w:val="never"/>
        <w:tblLayout w:type="fixed"/>
        <w:jc w:val="center"/>
      </w:tblPr>
      <w:tblGrid>
        <w:gridCol w:w="3442"/>
        <w:gridCol w:w="6888"/>
      </w:tblGrid>
      <w:tr>
        <w:trPr>
          <w:trHeight w:val="667"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0"/>
              </w:rPr>
              <w:t>Преимущества и требования к участникам</w:t>
            </w:r>
          </w:p>
        </w:tc>
        <w:tc>
          <w:tcPr>
            <w:shd w:val="clear" w:color="auto" w:fill="FFFFFF"/>
            <w:tcBorders>
              <w:left w:val="single" w:sz="4"/>
            </w:tcBorders>
            <w:vAlign w:val="top"/>
          </w:tcPr>
          <w:p>
            <w:pPr>
              <w:framePr w:w="10330" w:wrap="notBeside" w:vAnchor="text" w:hAnchor="text" w:xAlign="center" w:y="1"/>
              <w:widowControl w:val="0"/>
              <w:rPr>
                <w:sz w:val="10"/>
                <w:szCs w:val="10"/>
              </w:rPr>
            </w:pPr>
          </w:p>
        </w:tc>
      </w:tr>
      <w:tr>
        <w:trPr>
          <w:trHeight w:val="346"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Преимущества</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Не установлены</w:t>
            </w:r>
          </w:p>
        </w:tc>
      </w:tr>
      <w:tr>
        <w:trPr>
          <w:trHeight w:val="1190" w:hRule="exact"/>
        </w:trPr>
        <w:tc>
          <w:tcPr>
            <w:shd w:val="clear" w:color="auto" w:fill="FFFFFF"/>
            <w:tcBorders>
              <w:lef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Требования к участникам</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240" w:line="274" w:lineRule="exact"/>
              <w:ind w:left="60" w:right="0" w:firstLine="0"/>
            </w:pPr>
            <w:r>
              <w:rPr>
                <w:rStyle w:val="CharStyle21"/>
              </w:rPr>
              <w:t>1 Единые требования к участникам (в соответствии с частью 1 Статьи 31 Федерального закона № 44-ФЗ)</w:t>
            </w:r>
          </w:p>
          <w:p>
            <w:pPr>
              <w:pStyle w:val="Style7"/>
              <w:framePr w:w="10330" w:wrap="notBeside" w:vAnchor="text" w:hAnchor="text" w:xAlign="center" w:y="1"/>
              <w:widowControl w:val="0"/>
              <w:keepNext w:val="0"/>
              <w:keepLines w:val="0"/>
              <w:shd w:val="clear" w:color="auto" w:fill="auto"/>
              <w:bidi w:val="0"/>
              <w:jc w:val="left"/>
              <w:spacing w:before="240" w:after="0" w:line="220" w:lineRule="exact"/>
              <w:ind w:left="60" w:right="0" w:firstLine="0"/>
            </w:pPr>
            <w:r>
              <w:rPr>
                <w:rStyle w:val="CharStyle21"/>
              </w:rPr>
              <w:t>Дополнительная информация к требованию отсутствует</w:t>
            </w:r>
          </w:p>
        </w:tc>
      </w:tr>
      <w:tr>
        <w:trPr>
          <w:trHeight w:val="384" w:hRule="exact"/>
        </w:trPr>
        <w:tc>
          <w:tcPr>
            <w:shd w:val="clear" w:color="auto" w:fill="FFFFFF"/>
            <w:tcBorders>
              <w:lef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Ограничения и запреты</w:t>
            </w:r>
          </w:p>
        </w:tc>
        <w:tc>
          <w:tcPr>
            <w:shd w:val="clear" w:color="auto" w:fill="FFFFFF"/>
            <w:tcBorders>
              <w:left w:val="single" w:sz="4"/>
              <w:right w:val="single" w:sz="4"/>
              <w:top w:val="single" w:sz="4"/>
              <w:bottom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1"/>
              </w:rPr>
              <w:t>Не установлены</w:t>
            </w:r>
          </w:p>
        </w:tc>
      </w:tr>
    </w:tbl>
    <w:p>
      <w:pPr>
        <w:pStyle w:val="Style15"/>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9"/>
        </w:rPr>
        <w:t>.»</w:t>
      </w:r>
      <w:r>
        <w:rPr>
          <w:lang w:val="ru-RU" w:eastAsia="ru-RU" w:bidi="ru-RU"/>
          <w:w w:val="100"/>
          <w:spacing w:val="0"/>
          <w:color w:val="000000"/>
          <w:position w:val="0"/>
        </w:rPr>
        <w:t xml:space="preserve"> (цитата извещения о проведении Аукциона).</w:t>
      </w:r>
    </w:p>
    <w:p>
      <w:pPr>
        <w:pStyle w:val="Style15"/>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При этом в документации об Аукционе Заказчик указал: «.</w:t>
      </w:r>
    </w:p>
    <w:p>
      <w:pPr>
        <w:widowControl w:val="0"/>
        <w:spacing w:line="240" w:lineRule="exact"/>
        <w:rPr>
          <w:sz w:val="2"/>
          <w:szCs w:val="2"/>
        </w:rPr>
      </w:pPr>
    </w:p>
    <w:p>
      <w:pPr>
        <w:pStyle w:val="Style30"/>
        <w:framePr w:w="10728" w:wrap="notBeside" w:vAnchor="text" w:hAnchor="text" w:xAlign="center" w:y="1"/>
        <w:widowControl w:val="0"/>
        <w:keepNext w:val="0"/>
        <w:keepLines w:val="0"/>
        <w:shd w:val="clear" w:color="auto" w:fill="auto"/>
        <w:bidi w:val="0"/>
        <w:jc w:val="left"/>
        <w:spacing w:before="0" w:after="0" w:line="220" w:lineRule="exact"/>
        <w:ind w:left="0" w:right="0" w:firstLine="0"/>
      </w:pPr>
      <w:r>
        <w:rPr>
          <w:lang w:val="en-US" w:eastAsia="en-US" w:bidi="en-US"/>
          <w:w w:val="100"/>
          <w:spacing w:val="0"/>
          <w:color w:val="000000"/>
          <w:position w:val="0"/>
        </w:rPr>
        <w:t xml:space="preserve">II.II. </w:t>
      </w:r>
      <w:r>
        <w:rPr>
          <w:lang w:val="ru-RU" w:eastAsia="ru-RU" w:bidi="ru-RU"/>
          <w:w w:val="100"/>
          <w:spacing w:val="0"/>
          <w:color w:val="000000"/>
          <w:position w:val="0"/>
        </w:rPr>
        <w:t>ЕДИНЫЕ ТРЕБОВАНИЯ К УЧАСТНИКАМ ЗАКУПКИ</w:t>
      </w:r>
    </w:p>
    <w:tbl>
      <w:tblPr>
        <w:tblOverlap w:val="never"/>
        <w:tblLayout w:type="fixed"/>
        <w:jc w:val="center"/>
      </w:tblPr>
      <w:tblGrid>
        <w:gridCol w:w="677"/>
        <w:gridCol w:w="3014"/>
        <w:gridCol w:w="7037"/>
      </w:tblGrid>
      <w:tr>
        <w:trPr>
          <w:trHeight w:val="317"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0"/>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278" w:hRule="exact"/>
        </w:trPr>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пун</w:t>
            </w:r>
          </w:p>
        </w:tc>
        <w:tc>
          <w:tcPr>
            <w:shd w:val="clear" w:color="auto" w:fill="FFFFFF"/>
            <w:tcBorders>
              <w:lef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Наименование</w:t>
            </w:r>
          </w:p>
        </w:tc>
        <w:tc>
          <w:tcPr>
            <w:shd w:val="clear" w:color="auto" w:fill="FFFFFF"/>
            <w:tcBorders>
              <w:left w:val="single" w:sz="4"/>
              <w:right w:val="single" w:sz="4"/>
            </w:tcBorders>
            <w:vAlign w:val="bottom"/>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Информация</w:t>
            </w:r>
          </w:p>
        </w:tc>
      </w:tr>
      <w:tr>
        <w:trPr>
          <w:trHeight w:val="307" w:hRule="exact"/>
        </w:trPr>
        <w:tc>
          <w:tcPr>
            <w:shd w:val="clear" w:color="auto" w:fill="FFFFFF"/>
            <w:tcBorders>
              <w:left w:val="single" w:sz="4"/>
            </w:tcBorders>
            <w:vAlign w:val="top"/>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кта</w:t>
            </w:r>
          </w:p>
        </w:tc>
        <w:tc>
          <w:tcPr>
            <w:shd w:val="clear" w:color="auto" w:fill="FFFFFF"/>
            <w:tcBorders>
              <w:left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728" w:wrap="notBeside" w:vAnchor="text" w:hAnchor="text" w:xAlign="center" w:y="1"/>
              <w:widowControl w:val="0"/>
              <w:rPr>
                <w:sz w:val="10"/>
                <w:szCs w:val="10"/>
              </w:rPr>
            </w:pPr>
          </w:p>
        </w:tc>
      </w:tr>
      <w:tr>
        <w:trPr>
          <w:trHeight w:val="346" w:hRule="exact"/>
        </w:trPr>
        <w:tc>
          <w:tcPr>
            <w:shd w:val="clear" w:color="auto" w:fill="FFFFFF"/>
            <w:tcBorders>
              <w:left w:val="single" w:sz="4"/>
              <w:top w:val="single" w:sz="4"/>
            </w:tcBorders>
            <w:vAlign w:val="center"/>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w:t>
            </w:r>
          </w:p>
        </w:tc>
        <w:tc>
          <w:tcPr>
            <w:shd w:val="clear" w:color="auto" w:fill="FFFFFF"/>
            <w:tcBorders>
              <w:left w:val="single" w:sz="4"/>
              <w:top w:val="single" w:sz="4"/>
            </w:tcBorders>
            <w:vAlign w:val="top"/>
          </w:tcPr>
          <w:p>
            <w:pPr>
              <w:framePr w:w="10728"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728" w:wrap="notBeside" w:vAnchor="text" w:hAnchor="text" w:xAlign="center" w:y="1"/>
              <w:widowControl w:val="0"/>
              <w:rPr>
                <w:sz w:val="10"/>
                <w:szCs w:val="10"/>
              </w:rPr>
            </w:pPr>
          </w:p>
        </w:tc>
      </w:tr>
      <w:tr>
        <w:trPr>
          <w:trHeight w:val="1536" w:hRule="exact"/>
        </w:trPr>
        <w:tc>
          <w:tcPr>
            <w:shd w:val="clear" w:color="auto" w:fill="FFFFFF"/>
            <w:tcBorders>
              <w:lef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w:t>
            </w:r>
          </w:p>
        </w:tc>
        <w:tc>
          <w:tcPr>
            <w:shd w:val="clear" w:color="auto" w:fill="FFFFFF"/>
            <w:tcBorders>
              <w:left w:val="single" w:sz="4"/>
              <w:top w:val="single" w:sz="4"/>
              <w:bottom w:val="single" w:sz="4"/>
            </w:tcBorders>
            <w:vAlign w:val="top"/>
          </w:tcPr>
          <w:p>
            <w:pPr>
              <w:pStyle w:val="Style7"/>
              <w:framePr w:w="10728"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21"/>
              </w:rPr>
              <w:t>Требование об отсутствии сведений об участнике закупки в реестре недобросовестных поставщиков</w:t>
            </w:r>
          </w:p>
        </w:tc>
        <w:tc>
          <w:tcPr>
            <w:shd w:val="clear" w:color="auto" w:fill="FFFFFF"/>
            <w:tcBorders>
              <w:left w:val="single" w:sz="4"/>
              <w:right w:val="single" w:sz="4"/>
              <w:top w:val="single" w:sz="4"/>
              <w:bottom w:val="single" w:sz="4"/>
            </w:tcBorders>
            <w:vAlign w:val="bottom"/>
          </w:tcPr>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Установлены:</w:t>
            </w:r>
          </w:p>
          <w:p>
            <w:pPr>
              <w:pStyle w:val="Style7"/>
              <w:framePr w:w="10728"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1"/>
              </w:rPr>
              <w:t>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pPr>
        <w:widowControl w:val="0"/>
        <w:rPr>
          <w:sz w:val="2"/>
          <w:szCs w:val="2"/>
        </w:rPr>
      </w:pPr>
      <w:r>
        <w:br w:type="page"/>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(цитата документации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приведенное, Комиссия приходит к выводу, что Заказчиком в извещении о проведении Аукциона не указано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что нарушает требования пункта 6 части 5 статьи 63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80"/>
        <w:ind w:left="0" w:right="0" w:firstLine="86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2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Признать Заказчика нарушившим требования пункта 8 статьи 42, пункта 6 части 5 статьи 63, пункта 2 части 1 статьи 64, пункта 7 части 5 статьи 66 Закона о контрактной системе.</w:t>
      </w:r>
    </w:p>
    <w:p>
      <w:pPr>
        <w:pStyle w:val="Style7"/>
        <w:numPr>
          <w:ilvl w:val="0"/>
          <w:numId w:val="2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№06/4204-17 для рассмотрения вопроса о возбуждении дела об административном правонарушении.</w:t>
      </w:r>
    </w:p>
    <w:p>
      <w:pPr>
        <w:pStyle w:val="Style7"/>
        <w:numPr>
          <w:ilvl w:val="0"/>
          <w:numId w:val="2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06/12639.</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7" w:val="right"/>
          <w:tab w:leader="none" w:pos="8390" w:val="right"/>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58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265"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178" w:val="left"/>
        </w:tabs>
        <w:widowControl w:val="0"/>
        <w:keepNext w:val="0"/>
        <w:keepLines w:val="0"/>
        <w:shd w:val="clear" w:color="auto" w:fill="auto"/>
        <w:bidi w:val="0"/>
        <w:jc w:val="both"/>
        <w:spacing w:before="0" w:after="0" w:line="260" w:lineRule="exact"/>
        <w:ind w:left="5780" w:right="0" w:firstLine="0"/>
        <w:sectPr>
          <w:pgSz w:w="11906" w:h="16838"/>
          <w:pgMar w:top="1347" w:left="596" w:right="572" w:bottom="853"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0" w:after="176"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5"/>
        </w:numPr>
        <w:tabs>
          <w:tab w:leader="none" w:pos="1423" w:val="left"/>
        </w:tabs>
        <w:widowControl w:val="0"/>
        <w:keepNext w:val="0"/>
        <w:keepLines w:val="0"/>
        <w:shd w:val="clear" w:color="auto" w:fill="auto"/>
        <w:bidi w:val="0"/>
        <w:jc w:val="left"/>
        <w:spacing w:before="0" w:after="0" w:line="600" w:lineRule="exact"/>
        <w:ind w:left="40" w:right="2020" w:firstLine="0"/>
      </w:pPr>
      <w:r>
        <w:rPr>
          <w:lang w:val="ru-RU" w:eastAsia="ru-RU" w:bidi="ru-RU"/>
          <w:w w:val="100"/>
          <w:spacing w:val="0"/>
          <w:color w:val="000000"/>
          <w:position w:val="0"/>
        </w:rPr>
        <w:t>№06/12859 На № 789 от 03.11.2017</w:t>
      </w:r>
    </w:p>
    <w:p>
      <w:pPr>
        <w:pStyle w:val="Style7"/>
        <w:numPr>
          <w:ilvl w:val="0"/>
          <w:numId w:val="2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Государственное бюджетное учреждение здравоохранения Республики Крым «Джанкойская центральная районная больница»</w:t>
      </w:r>
    </w:p>
    <w:p>
      <w:pPr>
        <w:pStyle w:val="Style7"/>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296100, Республика Крым, г. Джанкой, ул. Совхозная, д. 19</w:t>
      </w:r>
    </w:p>
    <w:p>
      <w:pPr>
        <w:pStyle w:val="Style7"/>
        <w:numPr>
          <w:ilvl w:val="0"/>
          <w:numId w:val="2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«Медлайф»</w:t>
      </w:r>
    </w:p>
    <w:p>
      <w:pPr>
        <w:pStyle w:val="Style7"/>
        <w:widowControl w:val="0"/>
        <w:keepNext w:val="0"/>
        <w:keepLines w:val="0"/>
        <w:shd w:val="clear" w:color="auto" w:fill="auto"/>
        <w:bidi w:val="0"/>
        <w:jc w:val="left"/>
        <w:spacing w:before="0" w:after="0"/>
        <w:ind w:left="20" w:right="0" w:firstLine="0"/>
        <w:sectPr>
          <w:pgSz w:w="11906" w:h="16838"/>
          <w:pgMar w:top="1432" w:left="793" w:right="1139" w:bottom="606" w:header="0" w:footer="3" w:gutter="0"/>
          <w:rtlGutter w:val="0"/>
          <w:cols w:num="2" w:space="163"/>
          <w:noEndnote/>
          <w:docGrid w:linePitch="360"/>
        </w:sectPr>
      </w:pPr>
      <w:r>
        <w:rPr>
          <w:lang w:val="ru-RU" w:eastAsia="ru-RU" w:bidi="ru-RU"/>
          <w:w w:val="100"/>
          <w:spacing w:val="0"/>
          <w:color w:val="000000"/>
          <w:position w:val="0"/>
        </w:rPr>
        <w:t>299014, г. Севастополь, ул. Челнокова, д. 12/2, кв. 39</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27"/>
        </w:numPr>
        <w:tabs>
          <w:tab w:leader="none" w:pos="4502" w:val="left"/>
        </w:tabs>
        <w:widowControl w:val="0"/>
        <w:keepNext w:val="0"/>
        <w:keepLines w:val="0"/>
        <w:shd w:val="clear" w:color="auto" w:fill="auto"/>
        <w:bidi w:val="0"/>
        <w:jc w:val="left"/>
        <w:spacing w:before="0" w:after="60"/>
        <w:ind w:left="4180" w:right="400" w:firstLine="0"/>
      </w:pPr>
      <w:r>
        <w:rPr>
          <w:lang w:val="ru-RU" w:eastAsia="ru-RU" w:bidi="ru-RU"/>
          <w:w w:val="100"/>
          <w:spacing w:val="0"/>
          <w:color w:val="000000"/>
          <w:position w:val="0"/>
        </w:rPr>
        <w:t>Оператор электронной площадки: Общество с ограниченной ответственностью «РТС-тендер» 121151, г. Москва, наб. Тараса Шевченко, д. 23А</w:t>
      </w:r>
    </w:p>
    <w:p>
      <w:pPr>
        <w:pStyle w:val="Style10"/>
        <w:widowControl w:val="0"/>
        <w:keepNext w:val="0"/>
        <w:keepLines w:val="0"/>
        <w:shd w:val="clear" w:color="auto" w:fill="auto"/>
        <w:bidi w:val="0"/>
        <w:spacing w:before="0" w:after="0"/>
        <w:ind w:left="0" w:right="0" w:firstLine="0"/>
        <w:sectPr>
          <w:type w:val="continuous"/>
          <w:pgSz w:w="11906" w:h="16838"/>
          <w:pgMar w:top="1432" w:left="1695" w:right="1335" w:bottom="606" w:header="0" w:footer="3" w:gutter="0"/>
          <w:rtlGutter w:val="0"/>
          <w:cols w:space="720"/>
          <w:noEndnote/>
          <w:docGrid w:linePitch="360"/>
        </w:sectPr>
      </w:pPr>
      <w:r>
        <w:rPr>
          <w:lang w:val="ru-RU" w:eastAsia="ru-RU" w:bidi="ru-RU"/>
          <w:w w:val="100"/>
          <w:spacing w:val="0"/>
          <w:color w:val="000000"/>
          <w:position w:val="0"/>
        </w:rPr>
        <w:t>Предписание по делу №06/4204-17 об устранении нарушений законодательства Российской Федерации о контрактной системе в сфере закупок</w:t>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82" w:y="6"/>
        <w:widowControl w:val="0"/>
        <w:keepNext w:val="0"/>
        <w:keepLines w:val="0"/>
        <w:shd w:val="clear" w:color="auto" w:fill="auto"/>
        <w:bidi w:val="0"/>
        <w:jc w:val="left"/>
        <w:spacing w:before="0" w:after="0" w:line="240" w:lineRule="exact"/>
        <w:ind w:left="100" w:right="0" w:firstLine="0"/>
      </w:pPr>
      <w:r>
        <w:rPr>
          <w:rStyle w:val="CharStyle8"/>
          <w:spacing w:val="0"/>
        </w:rPr>
        <w:t>09.11.2017</w:t>
      </w:r>
    </w:p>
    <w:p>
      <w:pPr>
        <w:pStyle w:val="Style7"/>
        <w:widowControl w:val="0"/>
        <w:keepNext w:val="0"/>
        <w:keepLines w:val="0"/>
        <w:shd w:val="clear" w:color="auto" w:fill="auto"/>
        <w:bidi w:val="0"/>
        <w:jc w:val="right"/>
        <w:spacing w:before="0" w:after="193"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236"/>
        <w:ind w:left="20" w:right="2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5"/>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252" w:line="326"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32" w:line="31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right"/>
        <w:spacing w:before="0" w:after="0"/>
        <w:ind w:left="20" w:right="20" w:firstLine="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51" w:val="left"/>
        </w:tabs>
        <w:widowControl w:val="0"/>
        <w:keepNext w:val="0"/>
        <w:keepLines w:val="0"/>
        <w:shd w:val="clear" w:color="auto" w:fill="auto"/>
        <w:bidi w:val="0"/>
        <w:jc w:val="both"/>
        <w:spacing w:before="0" w:after="60"/>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289"/>
        <w:ind w:left="20" w:right="20" w:firstLine="860"/>
      </w:pPr>
      <w:r>
        <w:rPr>
          <w:lang w:val="ru-RU" w:eastAsia="ru-RU" w:bidi="ru-RU"/>
          <w:w w:val="100"/>
          <w:spacing w:val="0"/>
          <w:color w:val="000000"/>
          <w:position w:val="0"/>
        </w:rPr>
        <w:t>на основании решения Комиссии от 09.11.2017 по делу №06/4204-17 по итогам рассмотрения жалобы Заявителя от 03.11.2017 №789 (вх. №4781/09 от 03.11.2017) на действия Заказчика при проведении электронного аукциона «Рабочее место</w:t>
        <w:br w:type="page"/>
        <w:t>офтальмолога с комплектом оборудования» (номер извещения 0375200016117000218)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28"/>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243" w:line="260" w:lineRule="exact"/>
        <w:ind w:left="0" w:right="0" w:firstLine="0"/>
      </w:pPr>
      <w:r>
        <w:rPr>
          <w:lang w:val="ru-RU" w:eastAsia="ru-RU" w:bidi="ru-RU"/>
          <w:w w:val="100"/>
          <w:spacing w:val="0"/>
          <w:color w:val="000000"/>
          <w:position w:val="0"/>
        </w:rPr>
        <w:t>ПРЕДПИСЫВАЕТ:</w:t>
      </w:r>
    </w:p>
    <w:p>
      <w:pPr>
        <w:pStyle w:val="Style7"/>
        <w:numPr>
          <w:ilvl w:val="0"/>
          <w:numId w:val="29"/>
        </w:numPr>
        <w:widowControl w:val="0"/>
        <w:keepNext w:val="0"/>
        <w:keepLines w:val="0"/>
        <w:shd w:val="clear" w:color="auto" w:fill="auto"/>
        <w:bidi w:val="0"/>
        <w:jc w:val="both"/>
        <w:spacing w:before="0" w:after="244"/>
        <w:ind w:left="0" w:right="20" w:firstLine="860"/>
      </w:pPr>
      <w:r>
        <w:rPr>
          <w:lang w:val="ru-RU" w:eastAsia="ru-RU" w:bidi="ru-RU"/>
          <w:w w:val="100"/>
          <w:spacing w:val="0"/>
          <w:color w:val="000000"/>
          <w:position w:val="0"/>
        </w:rPr>
        <w:t xml:space="preserve"> Аукционной комиссии Заказчика при рассмотрении заявок участников Аукциона не учитывать требования о предоставлении во вторых частях заявок участников Аукциона декларации о принадлежности участника Аукциона к субъектам малого предпринимательства или социально ориентированным некоммерческим организациям, указанным в документации об Аукционе, с учетом решения от 09.11.2017 по делу №06/4204-17.</w:t>
      </w:r>
    </w:p>
    <w:p>
      <w:pPr>
        <w:pStyle w:val="Style7"/>
        <w:numPr>
          <w:ilvl w:val="0"/>
          <w:numId w:val="29"/>
        </w:numPr>
        <w:widowControl w:val="0"/>
        <w:keepNext w:val="0"/>
        <w:keepLines w:val="0"/>
        <w:shd w:val="clear" w:color="auto" w:fill="auto"/>
        <w:bidi w:val="0"/>
        <w:jc w:val="both"/>
        <w:spacing w:before="0" w:after="236" w:line="317" w:lineRule="exact"/>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09.11.2017 по делу №06/4204-17.</w:t>
      </w:r>
    </w:p>
    <w:p>
      <w:pPr>
        <w:pStyle w:val="Style7"/>
        <w:numPr>
          <w:ilvl w:val="0"/>
          <w:numId w:val="29"/>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27.11.2017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9"/>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 06/12639.</w:t>
      </w:r>
    </w:p>
    <w:p>
      <w:pPr>
        <w:pStyle w:val="Style7"/>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w:t>
        <w:br w:type="page"/>
        <w:t>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8"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516" w:left="911" w:right="781" w:bottom="9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4.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5"/>
      <w:numFmt w:val="decimal"/>
      <w:lvlText w:val="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2"/>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6">
    <w:name w:val="Подпись к таблице_"/>
    <w:basedOn w:val="DefaultParagraphFont"/>
    <w:link w:val="Style15"/>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Подпись к таблице"/>
    <w:basedOn w:val="CharStyle16"/>
    <w:rPr>
      <w:lang w:val="ru-RU" w:eastAsia="ru-RU" w:bidi="ru-RU"/>
      <w:u w:val="single"/>
      <w:w w:val="100"/>
      <w:spacing w:val="0"/>
      <w:color w:val="000000"/>
      <w:position w:val="0"/>
    </w:rPr>
  </w:style>
  <w:style w:type="character" w:customStyle="1" w:styleId="CharStyle18">
    <w:name w:val="Подпись к таблице"/>
    <w:basedOn w:val="CharStyle16"/>
    <w:rPr>
      <w:lang w:val="ru-RU" w:eastAsia="ru-RU" w:bidi="ru-RU"/>
      <w:u w:val="single"/>
      <w:w w:val="100"/>
      <w:spacing w:val="0"/>
      <w:color w:val="000000"/>
      <w:position w:val="0"/>
    </w:rPr>
  </w:style>
  <w:style w:type="character" w:customStyle="1" w:styleId="CharStyle19">
    <w:name w:val="Подпись к таблице"/>
    <w:basedOn w:val="CharStyle16"/>
    <w:rPr>
      <w:lang w:val="1024"/>
      <w:w w:val="100"/>
      <w:spacing w:val="0"/>
      <w:color w:val="000000"/>
      <w:position w:val="0"/>
    </w:rPr>
  </w:style>
  <w:style w:type="character" w:customStyle="1" w:styleId="CharStyle20">
    <w:name w:val="Основной текст + 11 pt,Полужирный"/>
    <w:basedOn w:val="CharStyle9"/>
    <w:rPr>
      <w:lang w:val="ru-RU" w:eastAsia="ru-RU" w:bidi="ru-RU"/>
      <w:b/>
      <w:bCs/>
      <w:sz w:val="22"/>
      <w:szCs w:val="22"/>
      <w:w w:val="100"/>
      <w:spacing w:val="0"/>
      <w:color w:val="000000"/>
      <w:position w:val="0"/>
    </w:rPr>
  </w:style>
  <w:style w:type="character" w:customStyle="1" w:styleId="CharStyle21">
    <w:name w:val="Основной текст + 11 pt"/>
    <w:basedOn w:val="CharStyle9"/>
    <w:rPr>
      <w:lang w:val="ru-RU" w:eastAsia="ru-RU" w:bidi="ru-RU"/>
      <w:sz w:val="22"/>
      <w:szCs w:val="22"/>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5)"/>
    <w:basedOn w:val="CharStyle23"/>
    <w:rPr>
      <w:lang w:val="ru-RU" w:eastAsia="ru-RU" w:bidi="ru-RU"/>
      <w:u w:val="single"/>
      <w:w w:val="100"/>
      <w:spacing w:val="0"/>
      <w:color w:val="000000"/>
      <w:position w:val="0"/>
    </w:rPr>
  </w:style>
  <w:style w:type="character" w:customStyle="1" w:styleId="CharStyle25">
    <w:name w:val="Основной текст"/>
    <w:basedOn w:val="CharStyle9"/>
    <w:rPr>
      <w:lang w:val="ru-RU" w:eastAsia="ru-RU" w:bidi="ru-RU"/>
      <w:w w:val="100"/>
      <w:spacing w:val="0"/>
      <w:color w:val="000000"/>
      <w:position w:val="0"/>
    </w:rPr>
  </w:style>
  <w:style w:type="character" w:customStyle="1" w:styleId="CharStyle26">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5) + 9,5 pt,Курсив"/>
    <w:basedOn w:val="CharStyle23"/>
    <w:rPr>
      <w:lang w:val="ru-RU" w:eastAsia="ru-RU" w:bidi="ru-RU"/>
      <w:i/>
      <w:iCs/>
      <w:sz w:val="19"/>
      <w:szCs w:val="19"/>
      <w:w w:val="100"/>
      <w:spacing w:val="0"/>
      <w:color w:val="000000"/>
      <w:position w:val="0"/>
    </w:rPr>
  </w:style>
  <w:style w:type="character" w:customStyle="1" w:styleId="CharStyle28">
    <w:name w:val="Основной текст"/>
    <w:basedOn w:val="CharStyle9"/>
    <w:rPr>
      <w:lang w:val="ru-RU" w:eastAsia="ru-RU" w:bidi="ru-RU"/>
      <w:u w:val="single"/>
      <w:w w:val="100"/>
      <w:spacing w:val="0"/>
      <w:color w:val="000000"/>
      <w:position w:val="0"/>
    </w:rPr>
  </w:style>
  <w:style w:type="character" w:customStyle="1" w:styleId="CharStyle29">
    <w:name w:val="Подпись к таблице + Интервал 2 pt"/>
    <w:basedOn w:val="CharStyle16"/>
    <w:rPr>
      <w:lang w:val="ru-RU" w:eastAsia="ru-RU" w:bidi="ru-RU"/>
      <w:w w:val="100"/>
      <w:spacing w:val="40"/>
      <w:color w:val="000000"/>
      <w:position w:val="0"/>
    </w:rPr>
  </w:style>
  <w:style w:type="character" w:customStyle="1" w:styleId="CharStyle31">
    <w:name w:val="Подпись к таблице (2)_"/>
    <w:basedOn w:val="DefaultParagraphFont"/>
    <w:link w:val="Style30"/>
    <w:rPr>
      <w:b/>
      <w:bCs/>
      <w:i w:val="0"/>
      <w:iCs w:val="0"/>
      <w:u w:val="none"/>
      <w:strike w:val="0"/>
      <w:smallCaps w:val="0"/>
      <w:sz w:val="22"/>
      <w:szCs w:val="22"/>
      <w:rFonts w:ascii="Times New Roman" w:eastAsia="Times New Roman" w:hAnsi="Times New Roman" w:cs="Times New Roman"/>
    </w:rPr>
  </w:style>
  <w:style w:type="character" w:customStyle="1" w:styleId="CharStyle32">
    <w:name w:val="Подпись к таблице (2)"/>
    <w:basedOn w:val="CharStyle31"/>
    <w:rPr>
      <w:lang w:val="ru-RU" w:eastAsia="ru-RU" w:bidi="ru-RU"/>
      <w:u w:val="single"/>
      <w:w w:val="100"/>
      <w:spacing w:val="0"/>
      <w:color w:val="000000"/>
      <w:position w:val="0"/>
    </w:rPr>
  </w:style>
  <w:style w:type="character" w:customStyle="1" w:styleId="CharStyle33">
    <w:name w:val="Подпись к таблице + Интервал 2 pt"/>
    <w:basedOn w:val="CharStyle16"/>
    <w:rPr>
      <w:lang w:val="ru-RU" w:eastAsia="ru-RU" w:bidi="ru-RU"/>
      <w:u w:val="single"/>
      <w:w w:val="100"/>
      <w:spacing w:val="40"/>
      <w:color w:val="000000"/>
      <w:position w:val="0"/>
    </w:rPr>
  </w:style>
  <w:style w:type="character" w:customStyle="1" w:styleId="CharStyle3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35">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26"/>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34"/>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30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Подпись к таблице"/>
    <w:basedOn w:val="Normal"/>
    <w:link w:val="CharStyle16"/>
    <w:pPr>
      <w:widowControl w:val="0"/>
      <w:shd w:val="clear" w:color="auto" w:fill="FFFFFF"/>
      <w:spacing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after="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Подпись к таблице (2)"/>
    <w:basedOn w:val="Normal"/>
    <w:link w:val="CharStyle31"/>
    <w:pPr>
      <w:widowControl w:val="0"/>
      <w:shd w:val="clear" w:color="auto" w:fill="FFFFFF"/>
      <w:jc w:val="center"/>
      <w:spacing w:line="283"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