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83" w:h="2892" w:wrap="around" w:hAnchor="margin" w:x="42" w:y="1117"/>
        <w:widowControl w:val="0"/>
        <w:keepNext w:val="0"/>
        <w:keepLines w:val="0"/>
        <w:shd w:val="clear" w:color="auto" w:fill="auto"/>
        <w:bidi w:val="0"/>
        <w:spacing w:before="0" w:after="180"/>
        <w:ind w:left="20" w:right="0" w:firstLine="0"/>
      </w:pPr>
      <w:r>
        <w:rPr>
          <w:rStyle w:val="CharStyle4"/>
          <w:b/>
          <w:bCs/>
        </w:rPr>
        <w:t>ФЕДЕРАЛЬНАЯ АНТИМОНОПОЛЬНАЯ СЛУЖБА</w:t>
      </w:r>
    </w:p>
    <w:p>
      <w:pPr>
        <w:pStyle w:val="Style3"/>
        <w:framePr w:w="4883" w:h="2892" w:wrap="around" w:hAnchor="margin" w:x="42" w:y="1117"/>
        <w:widowControl w:val="0"/>
        <w:keepNext w:val="0"/>
        <w:keepLines w:val="0"/>
        <w:shd w:val="clear" w:color="auto" w:fill="auto"/>
        <w:bidi w:val="0"/>
        <w:spacing w:before="0" w:after="0"/>
        <w:ind w:left="2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83" w:h="2892" w:wrap="around" w:hAnchor="margin" w:x="42" w:y="1117"/>
        <w:widowControl w:val="0"/>
        <w:keepNext w:val="0"/>
        <w:keepLines w:val="0"/>
        <w:shd w:val="clear" w:color="auto" w:fill="auto"/>
        <w:bidi w:val="0"/>
        <w:spacing w:before="0" w:after="254"/>
        <w:ind w:left="2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883" w:h="2892" w:wrap="around" w:hAnchor="margin" w:x="42" w:y="1117"/>
        <w:widowControl w:val="0"/>
        <w:keepNext w:val="0"/>
        <w:keepLines w:val="0"/>
        <w:shd w:val="clear" w:color="auto" w:fill="auto"/>
        <w:bidi w:val="0"/>
        <w:jc w:val="left"/>
        <w:spacing w:before="0" w:after="0" w:line="240" w:lineRule="exact"/>
        <w:ind w:left="20" w:right="0" w:firstLine="0"/>
      </w:pPr>
      <w:r>
        <w:rPr>
          <w:rStyle w:val="CharStyle8"/>
        </w:rPr>
        <w:t>13.11.2017 №06/12996</w:t>
      </w:r>
    </w:p>
    <w:p>
      <w:pPr>
        <w:pStyle w:val="Style7"/>
        <w:numPr>
          <w:ilvl w:val="0"/>
          <w:numId w:val="1"/>
        </w:numPr>
        <w:widowControl w:val="0"/>
        <w:keepNext w:val="0"/>
        <w:keepLines w:val="0"/>
        <w:shd w:val="clear" w:color="auto" w:fill="auto"/>
        <w:bidi w:val="0"/>
        <w:jc w:val="left"/>
        <w:spacing w:before="1079" w:after="0"/>
        <w:ind w:left="20" w:right="0" w:firstLine="0"/>
      </w:pPr>
      <w:r>
        <w:rPr>
          <w:lang w:val="ru-RU" w:eastAsia="ru-RU" w:bidi="ru-RU"/>
          <w:w w:val="100"/>
          <w:spacing w:val="0"/>
          <w:color w:val="000000"/>
          <w:position w:val="0"/>
        </w:rPr>
        <w:t xml:space="preserve"> Заказчик:</w:t>
      </w:r>
    </w:p>
    <w:p>
      <w:pPr>
        <w:pStyle w:val="Style7"/>
        <w:framePr w:h="245" w:wrap="around" w:vAnchor="text" w:hAnchor="margin" w:x="8" w:y="1681"/>
        <w:widowControl w:val="0"/>
        <w:keepNext w:val="0"/>
        <w:keepLines w:val="0"/>
        <w:shd w:val="clear" w:color="auto" w:fill="auto"/>
        <w:bidi w:val="0"/>
        <w:jc w:val="left"/>
        <w:spacing w:before="0" w:after="0" w:line="240" w:lineRule="exact"/>
        <w:ind w:left="0" w:right="0" w:firstLine="0"/>
      </w:pPr>
      <w:r>
        <w:rPr>
          <w:rStyle w:val="CharStyle8"/>
        </w:rPr>
        <w:t>На № 1-31/10 от 31.10.2017</w:t>
      </w:r>
    </w:p>
    <w:p>
      <w:pPr>
        <w:pStyle w:val="Style7"/>
        <w:widowControl w:val="0"/>
        <w:keepNext w:val="0"/>
        <w:keepLines w:val="0"/>
        <w:shd w:val="clear" w:color="auto" w:fill="auto"/>
        <w:bidi w:val="0"/>
        <w:jc w:val="left"/>
        <w:spacing w:before="0" w:after="0"/>
        <w:ind w:left="20" w:right="260" w:firstLine="0"/>
      </w:pPr>
      <w:r>
        <w:rPr>
          <w:lang w:val="ru-RU" w:eastAsia="ru-RU" w:bidi="ru-RU"/>
          <w:w w:val="100"/>
          <w:spacing w:val="0"/>
          <w:color w:val="000000"/>
          <w:position w:val="0"/>
        </w:rPr>
        <w:t>Федеральное государственное бюджетное образовательное учреждение «Международный детский центр «Артек» 298645, Республика Крым, г. Ялта, пгт. Гурзуф, ул. Ленинградская, 41</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940" w:firstLine="0"/>
      </w:pPr>
      <w:r>
        <w:rPr>
          <w:lang w:val="ru-RU" w:eastAsia="ru-RU" w:bidi="ru-RU"/>
          <w:w w:val="100"/>
          <w:spacing w:val="0"/>
          <w:color w:val="000000"/>
          <w:position w:val="0"/>
        </w:rPr>
        <w:t>Общество с ограниченной ответственностью «Еврогрупп»</w:t>
      </w:r>
    </w:p>
    <w:p>
      <w:pPr>
        <w:pStyle w:val="Style7"/>
        <w:widowControl w:val="0"/>
        <w:keepNext w:val="0"/>
        <w:keepLines w:val="0"/>
        <w:shd w:val="clear" w:color="auto" w:fill="auto"/>
        <w:bidi w:val="0"/>
        <w:jc w:val="left"/>
        <w:spacing w:before="0" w:after="289" w:line="322" w:lineRule="exact"/>
        <w:ind w:left="4980" w:right="940" w:firstLine="0"/>
      </w:pPr>
      <w:r>
        <w:rPr>
          <w:lang w:val="ru-RU" w:eastAsia="ru-RU" w:bidi="ru-RU"/>
          <w:w w:val="100"/>
          <w:spacing w:val="0"/>
          <w:color w:val="000000"/>
          <w:position w:val="0"/>
        </w:rPr>
        <w:t>355008, г. Ставрополь, ул. Гражданская, д. 11</w:t>
      </w:r>
    </w:p>
    <w:p>
      <w:pPr>
        <w:pStyle w:val="Style7"/>
        <w:numPr>
          <w:ilvl w:val="0"/>
          <w:numId w:val="1"/>
        </w:numPr>
        <w:widowControl w:val="0"/>
        <w:keepNext w:val="0"/>
        <w:keepLines w:val="0"/>
        <w:shd w:val="clear" w:color="auto" w:fill="auto"/>
        <w:bidi w:val="0"/>
        <w:jc w:val="left"/>
        <w:spacing w:before="0" w:after="4"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640" w:firstLine="0"/>
      </w:pPr>
      <w:r>
        <w:rPr>
          <w:lang w:val="ru-RU" w:eastAsia="ru-RU" w:bidi="ru-RU"/>
          <w:w w:val="100"/>
          <w:spacing w:val="0"/>
          <w:color w:val="000000"/>
          <w:position w:val="0"/>
        </w:rPr>
        <w:t>ЗАО «Сбербанк - Автоматизированная система торгов»</w:t>
      </w:r>
    </w:p>
    <w:p>
      <w:pPr>
        <w:pStyle w:val="Style7"/>
        <w:widowControl w:val="0"/>
        <w:keepNext w:val="0"/>
        <w:keepLines w:val="0"/>
        <w:shd w:val="clear" w:color="auto" w:fill="auto"/>
        <w:bidi w:val="0"/>
        <w:jc w:val="left"/>
        <w:spacing w:before="0" w:after="244" w:line="326" w:lineRule="exact"/>
        <w:ind w:left="4980" w:right="440" w:firstLine="0"/>
      </w:pPr>
      <w:r>
        <w:rPr>
          <w:lang w:val="ru-RU" w:eastAsia="ru-RU" w:bidi="ru-RU"/>
          <w:w w:val="100"/>
          <w:spacing w:val="0"/>
          <w:color w:val="000000"/>
          <w:position w:val="0"/>
        </w:rPr>
        <w:t>119435, г. Москва, Большой Саввинский переулок, д. 12, строение 9</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№06/4203-17 о нарушении законодательства Российской Федерации о контрактной системе в сфере закупок</w:t>
      </w:r>
    </w:p>
    <w:p>
      <w:pPr>
        <w:pStyle w:val="Style7"/>
        <w:numPr>
          <w:ilvl w:val="0"/>
          <w:numId w:val="3"/>
        </w:numPr>
        <w:tabs>
          <w:tab w:leader="none" w:pos="8018" w:val="left"/>
          <w:tab w:leader="none" w:pos="8062"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Заказчика А. В. Косых (по доверенности),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Заявителя Е. А. Гр</w:t>
      </w:r>
      <w:r>
        <w:rPr>
          <w:rStyle w:val="CharStyle12"/>
        </w:rPr>
        <w:t>итттк</w:t>
      </w:r>
      <w:r>
        <w:rPr>
          <w:lang w:val="ru-RU" w:eastAsia="ru-RU" w:bidi="ru-RU"/>
          <w:w w:val="100"/>
          <w:spacing w:val="0"/>
          <w:color w:val="000000"/>
          <w:position w:val="0"/>
        </w:rPr>
        <w:t>о (по доверенности), Д. Е. Зыза (по доверенности), —</w:t>
      </w:r>
      <w:r>
        <w:br w:type="page"/>
      </w:r>
    </w:p>
    <w:p>
      <w:pPr>
        <w:pStyle w:val="Style7"/>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рассмотрев жалобу Заявителя от 31.10.2017 № 1-31/10 (вх. №4780/09 от</w:t>
      </w:r>
    </w:p>
    <w:p>
      <w:pPr>
        <w:pStyle w:val="Style7"/>
        <w:numPr>
          <w:ilvl w:val="0"/>
          <w:numId w:val="5"/>
        </w:numPr>
        <w:tabs>
          <w:tab w:leader="none" w:pos="1628" w:val="left"/>
        </w:tabs>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 xml:space="preserve">на действия Заказчика при проведении электронного аукциона «Поставка автомобильных </w:t>
      </w:r>
      <w:r>
        <w:rPr>
          <w:rStyle w:val="CharStyle12"/>
        </w:rPr>
        <w:t>ши</w:t>
      </w:r>
      <w:r>
        <w:rPr>
          <w:lang w:val="ru-RU" w:eastAsia="ru-RU" w:bidi="ru-RU"/>
          <w:w w:val="100"/>
          <w:spacing w:val="0"/>
          <w:color w:val="000000"/>
          <w:position w:val="0"/>
        </w:rPr>
        <w:t>н» (номер извещения 0375100001217000389)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 необъективно описавшем в документации об Аукционе товар (автомобильных шин), являющийся объектом закупки (ненадлежащее значение индекса нагрузки на одинарное колесо, ненадлежащее требование о соответствии шин ГОСТам, требование к обозначению легкого места на шине).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 06/12638,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Заседание Комиссии по рассмотрению жалобы назначено на 14:00 09.11.2017.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15:50 13.11.2017.</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На заседании Комиссии представители Заявителя поддержали доводы жалобы в полном объеме.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Представитель Заказчика не согласился с доводами Заявителя и сообщил,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16.10.2017;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- 4 201 025,91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01.11.2017 08:00, дата окончания срока рассмотрения первых частей заявок участников: 02.11.2017, дата проведения Аукциона: 07.11.2017;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4 заявки, из них по результатам рассмотрения первых частей заявок 2 заявки отклонены;</w:t>
      </w:r>
    </w:p>
    <w:p>
      <w:pPr>
        <w:pStyle w:val="Style7"/>
        <w:numPr>
          <w:ilvl w:val="0"/>
          <w:numId w:val="7"/>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2 участника, снижение от начальной (максимальной) цены контракта составило 1,00%.</w:t>
      </w:r>
    </w:p>
    <w:p>
      <w:pPr>
        <w:pStyle w:val="Style7"/>
        <w:numPr>
          <w:ilvl w:val="0"/>
          <w:numId w:val="9"/>
        </w:numPr>
        <w:tabs>
          <w:tab w:leader="none" w:pos="123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 в документации об Аукционе необъективно описал товар (автомобильных шин), являющийся объектом закупки (ненадлежащее значение индекса нагрузки на одинарное колесо, ненадлежащее требование о соответствии шин ГОСТам, требование к обозначению легкого места на шине).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tabs>
          <w:tab w:leader="none" w:pos="4635" w:val="right"/>
          <w:tab w:leader="none" w:pos="4778" w:val="left"/>
          <w:tab w:leader="none" w:pos="5878"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Согласно пунктам 1,</w:t>
        <w:tab/>
        <w:t>2 части</w:t>
        <w:tab/>
        <w:t>1 статьи</w:t>
        <w:tab/>
        <w:t>33 Закона о контрактной системе</w:t>
      </w:r>
    </w:p>
    <w:p>
      <w:pPr>
        <w:pStyle w:val="Style7"/>
        <w:tabs>
          <w:tab w:leader="none" w:pos="4635" w:val="right"/>
          <w:tab w:leader="none" w:pos="581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заказчик при описании в</w:t>
        <w:tab/>
        <w:t>документации о</w:t>
        <w:tab/>
        <w:t>закупке объекта закупки должен</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руководствоваться следующими правилами:</w:t>
      </w:r>
    </w:p>
    <w:p>
      <w:pPr>
        <w:pStyle w:val="Style7"/>
        <w:numPr>
          <w:ilvl w:val="0"/>
          <w:numId w:val="7"/>
        </w:numPr>
        <w:tabs>
          <w:tab w:leader="none" w:pos="4635" w:val="right"/>
          <w:tab w:leader="none" w:pos="4778" w:val="left"/>
          <w:tab w:leader="none" w:pos="5825"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описание объекта</w:t>
        <w:tab/>
        <w:t>закупки</w:t>
        <w:tab/>
        <w:t>должно</w:t>
        <w:tab/>
        <w:t>носить объективный характер. В</w:t>
      </w:r>
    </w:p>
    <w:p>
      <w:pPr>
        <w:pStyle w:val="Style7"/>
        <w:tabs>
          <w:tab w:leader="none" w:pos="841" w:val="left"/>
          <w:tab w:leader="none" w:pos="4701" w:val="left"/>
          <w:tab w:leader="none" w:pos="5858"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tab/>
        <w:t>необходимости). В описание</w:t>
        <w:tab/>
        <w:t>объекта</w:t>
        <w:tab/>
        <w:t>закупки не должны включаться</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На заседании Комиссией установлено (не ограничиваясь приведенными в решении примерами), что согласно таблице А.4 «Нормы эксплуатационных режимов легких грузовых шин» ГОСТ 52899-2007 значения индекса несущей способности для максимально допустимой нагрузки на одинарную шину 275/70 </w:t>
      </w:r>
      <w:r>
        <w:rPr>
          <w:lang w:val="en-US" w:eastAsia="en-US" w:bidi="en-US"/>
          <w:w w:val="100"/>
          <w:spacing w:val="0"/>
          <w:color w:val="000000"/>
          <w:position w:val="0"/>
        </w:rPr>
        <w:t xml:space="preserve">R22,5 </w:t>
      </w:r>
      <w:r>
        <w:rPr>
          <w:lang w:val="ru-RU" w:eastAsia="ru-RU" w:bidi="ru-RU"/>
          <w:w w:val="100"/>
          <w:spacing w:val="0"/>
          <w:color w:val="000000"/>
          <w:position w:val="0"/>
        </w:rPr>
        <w:t xml:space="preserve">составляет 148. Вместе с тем, в документации об Аукционе заказчик установил значение данного показателя как диапазонную величину «144&lt;154». При этом в документации об Аукционе отсутствует обоснование установления Заказчиком значения индекса несущей способности для максимально допустимой нагрузки на одинарную шину 275/70 </w:t>
      </w:r>
      <w:r>
        <w:rPr>
          <w:lang w:val="en-US" w:eastAsia="en-US" w:bidi="en-US"/>
          <w:w w:val="100"/>
          <w:spacing w:val="0"/>
          <w:color w:val="000000"/>
          <w:position w:val="0"/>
        </w:rPr>
        <w:t xml:space="preserve">R22,5 </w:t>
      </w:r>
      <w:r>
        <w:rPr>
          <w:lang w:val="ru-RU" w:eastAsia="ru-RU" w:bidi="ru-RU"/>
          <w:w w:val="100"/>
          <w:spacing w:val="0"/>
          <w:color w:val="000000"/>
          <w:position w:val="0"/>
        </w:rPr>
        <w:t>отличного от ГОСТ 52899-2007.</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Данные действия Заказчика нарушают требования пункта 2 части 1 статьи 33, пункта 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Таким образом, данный довод Заявителя нашел свое подтверждение.</w:t>
      </w:r>
    </w:p>
    <w:p>
      <w:pPr>
        <w:pStyle w:val="Style7"/>
        <w:widowControl w:val="0"/>
        <w:keepNext w:val="0"/>
        <w:keepLines w:val="0"/>
        <w:shd w:val="clear" w:color="auto" w:fill="auto"/>
        <w:bidi w:val="0"/>
        <w:jc w:val="both"/>
        <w:spacing w:before="0" w:after="0" w:line="322" w:lineRule="exact"/>
        <w:ind w:left="20" w:right="160" w:firstLine="840"/>
      </w:pPr>
      <w:r>
        <w:rPr>
          <w:lang w:val="ru-RU" w:eastAsia="ru-RU" w:bidi="ru-RU"/>
          <w:w w:val="100"/>
          <w:spacing w:val="0"/>
          <w:color w:val="000000"/>
          <w:position w:val="0"/>
        </w:rPr>
        <w:t>На заседании Комиссии установлено, что требование Заказчика к обозначению легкого места на шине не противоречит положениям ГОСТ 4757-97 и, как следствие, Закона о контрактной системе.</w:t>
      </w:r>
    </w:p>
    <w:p>
      <w:pPr>
        <w:pStyle w:val="Style7"/>
        <w:widowControl w:val="0"/>
        <w:keepNext w:val="0"/>
        <w:keepLines w:val="0"/>
        <w:shd w:val="clear" w:color="auto" w:fill="auto"/>
        <w:bidi w:val="0"/>
        <w:jc w:val="both"/>
        <w:spacing w:before="0" w:after="0" w:line="322" w:lineRule="exact"/>
        <w:ind w:left="20" w:right="160" w:firstLine="840"/>
      </w:pPr>
      <w:r>
        <w:rPr>
          <w:lang w:val="ru-RU" w:eastAsia="ru-RU" w:bidi="ru-RU"/>
          <w:w w:val="100"/>
          <w:spacing w:val="0"/>
          <w:color w:val="000000"/>
          <w:position w:val="0"/>
        </w:rPr>
        <w:t xml:space="preserve">При этом Комиссия приходит к выводу, что требование Заказчика о соответствии </w:t>
      </w:r>
      <w:r>
        <w:rPr>
          <w:rStyle w:val="CharStyle12"/>
        </w:rPr>
        <w:t>ши</w:t>
      </w:r>
      <w:r>
        <w:rPr>
          <w:lang w:val="ru-RU" w:eastAsia="ru-RU" w:bidi="ru-RU"/>
          <w:w w:val="100"/>
          <w:spacing w:val="0"/>
          <w:color w:val="000000"/>
          <w:position w:val="0"/>
        </w:rPr>
        <w:t>н ГОСТам не нарушают требования статьи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60" w:line="322" w:lineRule="exact"/>
        <w:ind w:left="20" w:right="20" w:firstLine="84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представителями Заявителя не предоставлено объективных доказательств, свидетельствующих о том, что данными условиями Заказчик ограничил круг участников Аукциона.</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7"/>
        <w:numPr>
          <w:ilvl w:val="0"/>
          <w:numId w:val="9"/>
        </w:numPr>
        <w:tabs>
          <w:tab w:leader="none" w:pos="1192" w:val="left"/>
        </w:tabs>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9"/>
        </w:numPr>
        <w:tabs>
          <w:tab w:leader="none" w:pos="146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tabs>
          <w:tab w:leader="none" w:pos="3607" w:val="left"/>
          <w:tab w:leader="none" w:pos="4726" w:val="left"/>
          <w:tab w:leader="none" w:pos="5887"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Согласно пунктам 1,</w:t>
        <w:tab/>
        <w:t>2 части</w:t>
        <w:tab/>
        <w:t>1 статьи</w:t>
        <w:tab/>
        <w:t>33 Закона о контрактной системе</w:t>
      </w:r>
    </w:p>
    <w:p>
      <w:pPr>
        <w:pStyle w:val="Style7"/>
        <w:tabs>
          <w:tab w:leader="none" w:pos="3549" w:val="left"/>
          <w:tab w:leader="none" w:pos="581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заказчик при описании в</w:t>
        <w:tab/>
        <w:t>документации о</w:t>
        <w:tab/>
        <w:t>закупке объекта закупки должен</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руководствоваться следующими правилами:</w:t>
      </w:r>
    </w:p>
    <w:p>
      <w:pPr>
        <w:pStyle w:val="Style7"/>
        <w:numPr>
          <w:ilvl w:val="0"/>
          <w:numId w:val="7"/>
        </w:numPr>
        <w:tabs>
          <w:tab w:leader="none" w:pos="3564" w:val="left"/>
          <w:tab w:leader="none" w:pos="4716" w:val="left"/>
          <w:tab w:leader="none" w:pos="5825"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описание объекта</w:t>
        <w:tab/>
        <w:t>закупки</w:t>
        <w:tab/>
        <w:t>должно</w:t>
        <w:tab/>
        <w:t>носить объективный характер. В</w:t>
      </w:r>
    </w:p>
    <w:p>
      <w:pPr>
        <w:pStyle w:val="Style7"/>
        <w:tabs>
          <w:tab w:leader="none" w:pos="846" w:val="left"/>
          <w:tab w:leader="none" w:pos="4710" w:val="left"/>
          <w:tab w:leader="none" w:pos="5862"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tab/>
        <w:t>необходимости). В описание</w:t>
        <w:tab/>
        <w:t>объекта</w:t>
        <w:tab/>
        <w:t>закупки не должны включаться</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На заседании Комиссией установлено (не ограничиваясь приведенными в решении примерами), что согласно номенклатурной позиции «1» технического задания документации об Аукционе Заказчиком закупается автомобильная шина 275/70 </w:t>
      </w:r>
      <w:r>
        <w:rPr>
          <w:lang w:val="en-US" w:eastAsia="en-US" w:bidi="en-US"/>
          <w:w w:val="100"/>
          <w:spacing w:val="0"/>
          <w:color w:val="000000"/>
          <w:position w:val="0"/>
        </w:rPr>
        <w:t xml:space="preserve">R22,5. </w:t>
      </w:r>
      <w:r>
        <w:rPr>
          <w:lang w:val="ru-RU" w:eastAsia="ru-RU" w:bidi="ru-RU"/>
          <w:w w:val="100"/>
          <w:spacing w:val="0"/>
          <w:color w:val="000000"/>
          <w:position w:val="0"/>
        </w:rPr>
        <w:t>Согласно ГОСТ 52899-2007 данная шина является бескамерной радиальной с номинальной шириной профиля 275 мм, номинальным отношением высоты профиля к ее ширине 70% и номинальном посадочного диаметра обода 22,5 дюймов. Вместе с тем, в документации об Аукционе заказчик установил следующие значения:</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для показателя «конструкция шины» — радиальная; диагональная;</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для показателя «способ герметизации» — камерный; бескамерный.</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Таким образом, Комиссия приходит к выводу о необъективности описания Заказчиком товаров (значений показателей автомобильных шин), являющихся объектом закупки, что нарушает требования пункта 1 части 1 статьи 33, пункта 1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9"/>
        </w:numPr>
        <w:tabs>
          <w:tab w:leader="none" w:pos="1408"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подпункта «а»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w:t>
      </w:r>
    </w:p>
    <w:p>
      <w:pPr>
        <w:pStyle w:val="Style7"/>
        <w:widowControl w:val="0"/>
        <w:keepNext w:val="0"/>
        <w:keepLines w:val="0"/>
        <w:shd w:val="clear" w:color="auto" w:fill="auto"/>
        <w:bidi w:val="0"/>
        <w:jc w:val="both"/>
        <w:spacing w:before="0" w:after="0" w:line="322" w:lineRule="exact"/>
        <w:ind w:left="120" w:right="20" w:firstLine="0"/>
      </w:pPr>
      <w:r>
        <w:rPr>
          <w:lang w:val="ru-RU" w:eastAsia="ru-RU" w:bidi="ru-RU"/>
          <w:w w:val="100"/>
          <w:spacing w:val="0"/>
          <w:color w:val="000000"/>
          <w:position w:val="0"/>
        </w:rPr>
        <w:t>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На заседании Комиссией установлено, что согласно номенклатурной поз</w:t>
      </w:r>
      <w:r>
        <w:rPr>
          <w:rStyle w:val="CharStyle12"/>
        </w:rPr>
        <w:t>ици</w:t>
      </w:r>
      <w:r>
        <w:rPr>
          <w:lang w:val="ru-RU" w:eastAsia="ru-RU" w:bidi="ru-RU"/>
          <w:w w:val="100"/>
          <w:spacing w:val="0"/>
          <w:color w:val="000000"/>
          <w:position w:val="0"/>
        </w:rPr>
        <w:t xml:space="preserve">и «3» технического задания документации об Аукционе Заказчиком закупается автомобильная </w:t>
      </w:r>
      <w:r>
        <w:rPr>
          <w:rStyle w:val="CharStyle12"/>
        </w:rPr>
        <w:t>ши</w:t>
      </w:r>
      <w:r>
        <w:rPr>
          <w:lang w:val="ru-RU" w:eastAsia="ru-RU" w:bidi="ru-RU"/>
          <w:w w:val="100"/>
          <w:spacing w:val="0"/>
          <w:color w:val="000000"/>
          <w:position w:val="0"/>
        </w:rPr>
        <w:t xml:space="preserve">на. </w:t>
      </w:r>
      <w:r>
        <w:rPr>
          <w:lang w:val="en-US" w:eastAsia="en-US" w:bidi="en-US"/>
          <w:w w:val="100"/>
          <w:spacing w:val="0"/>
          <w:color w:val="000000"/>
          <w:position w:val="0"/>
        </w:rPr>
        <w:t xml:space="preserve">8,25/R20 Tyrex CRG, VM 201 hc 14 </w:t>
      </w:r>
      <w:r>
        <w:rPr>
          <w:lang w:val="ru-RU" w:eastAsia="ru-RU" w:bidi="ru-RU"/>
          <w:w w:val="100"/>
          <w:spacing w:val="0"/>
          <w:color w:val="000000"/>
          <w:position w:val="0"/>
        </w:rPr>
        <w:t>или эквивалент (для установки на автобус).</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Вместе с тем, Комиссией не установлено в документации об Аукционе значения эквивалентности данных автомобильных шин, которые участник Аукциона должен указать в заявке на участие в Аукционе.</w:t>
      </w:r>
    </w:p>
    <w:p>
      <w:pPr>
        <w:pStyle w:val="Style7"/>
        <w:widowControl w:val="0"/>
        <w:keepNext w:val="0"/>
        <w:keepLines w:val="0"/>
        <w:shd w:val="clear" w:color="auto" w:fill="auto"/>
        <w:bidi w:val="0"/>
        <w:jc w:val="both"/>
        <w:spacing w:before="0" w:after="180" w:line="322" w:lineRule="exact"/>
        <w:ind w:left="120" w:right="20" w:firstLine="860"/>
      </w:pPr>
      <w:r>
        <w:rPr>
          <w:lang w:val="ru-RU" w:eastAsia="ru-RU" w:bidi="ru-RU"/>
          <w:w w:val="100"/>
          <w:spacing w:val="0"/>
          <w:color w:val="000000"/>
          <w:position w:val="0"/>
        </w:rPr>
        <w:t>Таким образом, действия Заказчика, не установившем в документации об Аукционе значения эквивалентности данных автомобильных шин, которые участник Аукциона должен указать в заявке на участие в Аукционе,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1"/>
          <w:numId w:val="9"/>
        </w:numPr>
        <w:tabs>
          <w:tab w:leader="none" w:pos="1503" w:val="left"/>
        </w:tabs>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 силу части 5 стати 63 Закона о контрактной системе в извещении о проведении электронного аукциона должна содержаться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 соответствии с пунктом 2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следующая информация: о количестве и месте доставки товара, являющегося предметом контракта.</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Учитывая приведенное, документация об электронном аукционе содержит ту же информацию, что и извещение о проведении электронного аукциона.</w:t>
      </w:r>
    </w:p>
    <w:p>
      <w:pPr>
        <w:pStyle w:val="Style15"/>
        <w:framePr w:w="10330" w:wrap="notBeside" w:vAnchor="text" w:hAnchor="text" w:xAlign="center" w:y="1"/>
        <w:tabs>
          <w:tab w:leader="underscore" w:pos="10210"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Комиссией установлено, что в документации об Аукционе Заказчик указал количество товара, поставляемого участником во исполнение государственного </w:t>
      </w:r>
      <w:r>
        <w:rPr>
          <w:rStyle w:val="CharStyle17"/>
        </w:rPr>
        <w:t xml:space="preserve">контракта, заключенного по итогам Аукциона: </w:t>
      </w:r>
      <w:r>
        <w:rPr>
          <w:rStyle w:val="CharStyle18"/>
        </w:rPr>
        <w:t>«...</w:t>
      </w:r>
      <w:r>
        <w:rPr>
          <w:rStyle w:val="CharStyle19"/>
          <w:lang w:val="ru-RU" w:eastAsia="ru-RU" w:bidi="ru-RU"/>
        </w:rPr>
        <w:tab/>
      </w:r>
    </w:p>
    <w:tbl>
      <w:tblPr>
        <w:tblOverlap w:val="never"/>
        <w:tblLayout w:type="fixed"/>
        <w:jc w:val="center"/>
      </w:tblPr>
      <w:tblGrid>
        <w:gridCol w:w="763"/>
        <w:gridCol w:w="3638"/>
        <w:gridCol w:w="2515"/>
        <w:gridCol w:w="1704"/>
        <w:gridCol w:w="1709"/>
      </w:tblGrid>
      <w:tr>
        <w:trPr>
          <w:trHeight w:val="566"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60" w:line="220" w:lineRule="exact"/>
              <w:ind w:left="0" w:right="0" w:firstLine="0"/>
            </w:pPr>
            <w:r>
              <w:rPr>
                <w:rStyle w:val="CharStyle20"/>
              </w:rPr>
              <w:t>№</w:t>
            </w:r>
          </w:p>
          <w:p>
            <w:pPr>
              <w:pStyle w:val="Style7"/>
              <w:framePr w:w="10330" w:wrap="notBeside" w:vAnchor="text" w:hAnchor="text" w:xAlign="center" w:y="1"/>
              <w:widowControl w:val="0"/>
              <w:keepNext w:val="0"/>
              <w:keepLines w:val="0"/>
              <w:shd w:val="clear" w:color="auto" w:fill="auto"/>
              <w:bidi w:val="0"/>
              <w:jc w:val="center"/>
              <w:spacing w:before="60" w:after="0" w:line="220" w:lineRule="exact"/>
              <w:ind w:left="0" w:right="0" w:firstLine="0"/>
            </w:pPr>
            <w:r>
              <w:rPr>
                <w:rStyle w:val="CharStyle20"/>
              </w:rPr>
              <w:t>п/п</w:t>
            </w: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Наименование</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20"/>
              </w:rPr>
              <w:t>Технические</w:t>
            </w:r>
          </w:p>
          <w:p>
            <w:pPr>
              <w:pStyle w:val="Style7"/>
              <w:framePr w:w="10330"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0"/>
              </w:rPr>
              <w:t>характеристики</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20"/>
              </w:rPr>
              <w:t>Единица</w:t>
            </w:r>
          </w:p>
          <w:p>
            <w:pPr>
              <w:pStyle w:val="Style7"/>
              <w:framePr w:w="10330"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0"/>
              </w:rPr>
              <w:t>измерения</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Количество</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1</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275/70 </w:t>
            </w:r>
            <w:r>
              <w:rPr>
                <w:rStyle w:val="CharStyle20"/>
                <w:lang w:val="en-US" w:eastAsia="en-US" w:bidi="en-US"/>
              </w:rPr>
              <w:t xml:space="preserve">R22,5 </w:t>
            </w:r>
            <w:r>
              <w:rPr>
                <w:rStyle w:val="CharStyle20"/>
              </w:rPr>
              <w:t>на рулевую и ведущую ось</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36</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275/70 </w:t>
            </w:r>
            <w:r>
              <w:rPr>
                <w:rStyle w:val="CharStyle20"/>
                <w:lang w:val="en-US" w:eastAsia="en-US" w:bidi="en-US"/>
              </w:rPr>
              <w:t xml:space="preserve">R22,5 </w:t>
            </w:r>
            <w:r>
              <w:rPr>
                <w:rStyle w:val="CharStyle20"/>
              </w:rPr>
              <w:t>ведущую ось</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40</w:t>
            </w:r>
          </w:p>
        </w:tc>
      </w:tr>
      <w:tr>
        <w:trPr>
          <w:trHeight w:val="1114"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3</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w:t>
            </w:r>
            <w:r>
              <w:rPr>
                <w:rStyle w:val="CharStyle20"/>
                <w:lang w:val="en-US" w:eastAsia="en-US" w:bidi="en-US"/>
              </w:rPr>
              <w:t xml:space="preserve">8,25/R20 Tyrex CRG; VM 201 hc 14 </w:t>
            </w:r>
            <w:r>
              <w:rPr>
                <w:rStyle w:val="CharStyle20"/>
              </w:rPr>
              <w:t>или эквивалент (для установки на автобус)</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36</w:t>
            </w:r>
          </w:p>
        </w:tc>
      </w:tr>
      <w:tr>
        <w:trPr>
          <w:trHeight w:val="571" w:hRule="exact"/>
        </w:trPr>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w:t>
            </w:r>
          </w:p>
        </w:tc>
        <w:tc>
          <w:tcPr>
            <w:shd w:val="clear" w:color="auto" w:fill="FFFFFF"/>
            <w:tcBorders>
              <w:lef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20"/>
              </w:rPr>
              <w:t xml:space="preserve">Зимняя автомобильная шина 225/75 </w:t>
            </w:r>
            <w:r>
              <w:rPr>
                <w:rStyle w:val="CharStyle20"/>
                <w:lang w:val="en-US" w:eastAsia="en-US" w:bidi="en-US"/>
              </w:rPr>
              <w:t xml:space="preserve">R16 </w:t>
            </w:r>
            <w:r>
              <w:rPr>
                <w:rStyle w:val="CharStyle20"/>
              </w:rPr>
              <w:t>нешипованная</w:t>
            </w: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w:t>
            </w:r>
          </w:p>
        </w:tc>
      </w:tr>
    </w:tbl>
    <w:p>
      <w:pPr>
        <w:widowControl w:val="0"/>
        <w:rPr>
          <w:sz w:val="2"/>
          <w:szCs w:val="2"/>
        </w:rPr>
      </w:pPr>
    </w:p>
    <w:tbl>
      <w:tblPr>
        <w:tblOverlap w:val="never"/>
        <w:tblLayout w:type="fixed"/>
        <w:jc w:val="center"/>
      </w:tblPr>
      <w:tblGrid>
        <w:gridCol w:w="763"/>
        <w:gridCol w:w="3638"/>
        <w:gridCol w:w="2515"/>
        <w:gridCol w:w="1704"/>
        <w:gridCol w:w="1709"/>
      </w:tblGrid>
      <w:tr>
        <w:trPr>
          <w:trHeight w:val="840"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5</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на ведущую ось 245/70 </w:t>
            </w:r>
            <w:r>
              <w:rPr>
                <w:rStyle w:val="CharStyle20"/>
                <w:lang w:val="en-US" w:eastAsia="en-US" w:bidi="en-US"/>
              </w:rPr>
              <w:t>R19,5</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20</w:t>
            </w:r>
          </w:p>
        </w:tc>
      </w:tr>
      <w:tr>
        <w:trPr>
          <w:trHeight w:val="840"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6</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на рулевую ось 245/70 </w:t>
            </w:r>
            <w:r>
              <w:rPr>
                <w:rStyle w:val="CharStyle20"/>
                <w:lang w:val="en-US" w:eastAsia="en-US" w:bidi="en-US"/>
              </w:rPr>
              <w:t>R19,5</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16</w:t>
            </w:r>
          </w:p>
        </w:tc>
      </w:tr>
      <w:tr>
        <w:trPr>
          <w:trHeight w:val="288"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7</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 xml:space="preserve">Автомобильная шина </w:t>
            </w:r>
            <w:r>
              <w:rPr>
                <w:rStyle w:val="CharStyle20"/>
                <w:lang w:val="en-US" w:eastAsia="en-US" w:bidi="en-US"/>
              </w:rPr>
              <w:t>10,00/R20</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18</w:t>
            </w:r>
          </w:p>
        </w:tc>
      </w:tr>
      <w:tr>
        <w:trPr>
          <w:trHeight w:val="835"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8</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0"/>
              </w:rPr>
              <w:t xml:space="preserve">Зимняя автомобильная шина 275/70 </w:t>
            </w:r>
            <w:r>
              <w:rPr>
                <w:rStyle w:val="CharStyle20"/>
                <w:lang w:val="en-US" w:eastAsia="en-US" w:bidi="en-US"/>
              </w:rPr>
              <w:t xml:space="preserve">R16 </w:t>
            </w:r>
            <w:r>
              <w:rPr>
                <w:rStyle w:val="CharStyle20"/>
              </w:rPr>
              <w:t>зимняя нешипованная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9</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 xml:space="preserve">Автомобильная шина 195/65 </w:t>
            </w:r>
            <w:r>
              <w:rPr>
                <w:rStyle w:val="CharStyle20"/>
                <w:lang w:val="en-US" w:eastAsia="en-US" w:bidi="en-US"/>
              </w:rPr>
              <w:t xml:space="preserve">R15 </w:t>
            </w:r>
            <w:r>
              <w:rPr>
                <w:rStyle w:val="CharStyle20"/>
              </w:rPr>
              <w:t>зимняя нешипованная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10</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69" w:lineRule="exact"/>
              <w:ind w:left="140" w:right="0" w:firstLine="0"/>
            </w:pPr>
            <w:r>
              <w:rPr>
                <w:rStyle w:val="CharStyle20"/>
              </w:rPr>
              <w:t xml:space="preserve">Гусеница резиновая на </w:t>
            </w:r>
            <w:r>
              <w:rPr>
                <w:rStyle w:val="CharStyle20"/>
                <w:lang w:val="en-US" w:eastAsia="en-US" w:bidi="en-US"/>
              </w:rPr>
              <w:t>Bobcat E32</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w:t>
            </w:r>
          </w:p>
        </w:tc>
      </w:tr>
      <w:tr>
        <w:trPr>
          <w:trHeight w:val="840"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11</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Комплект автошин на трактор </w:t>
            </w:r>
            <w:r>
              <w:rPr>
                <w:rStyle w:val="CharStyle20"/>
                <w:lang w:val="en-US" w:eastAsia="en-US" w:bidi="en-US"/>
              </w:rPr>
              <w:t xml:space="preserve">Kioti CK35 </w:t>
            </w:r>
            <w:r>
              <w:rPr>
                <w:rStyle w:val="CharStyle20"/>
              </w:rPr>
              <w:t>2 на рулевую ось и 2 на ведущую ось</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 xml:space="preserve">1 </w:t>
            </w:r>
            <w:r>
              <w:rPr>
                <w:rStyle w:val="CharStyle21"/>
              </w:rPr>
              <w:t>(комплект)</w:t>
            </w:r>
          </w:p>
        </w:tc>
      </w:tr>
      <w:tr>
        <w:trPr>
          <w:trHeight w:val="283"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12</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 xml:space="preserve">Автомобильная шина </w:t>
            </w:r>
            <w:r>
              <w:rPr>
                <w:rStyle w:val="CharStyle20"/>
                <w:lang w:val="en-US" w:eastAsia="en-US" w:bidi="en-US"/>
              </w:rPr>
              <w:t>9,00/R20</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24</w:t>
            </w:r>
          </w:p>
        </w:tc>
      </w:tr>
      <w:tr>
        <w:trPr>
          <w:trHeight w:val="566"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13</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205/55 </w:t>
            </w:r>
            <w:r>
              <w:rPr>
                <w:rStyle w:val="CharStyle20"/>
                <w:lang w:val="en-US" w:eastAsia="en-US" w:bidi="en-US"/>
              </w:rPr>
              <w:t xml:space="preserve">R16 </w:t>
            </w:r>
            <w:r>
              <w:rPr>
                <w:rStyle w:val="CharStyle20"/>
              </w:rPr>
              <w:t>зимняя нешипованная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24</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14</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205/70 </w:t>
            </w:r>
            <w:r>
              <w:rPr>
                <w:rStyle w:val="CharStyle20"/>
                <w:lang w:val="en-US" w:eastAsia="en-US" w:bidi="en-US"/>
              </w:rPr>
              <w:t xml:space="preserve">R14 </w:t>
            </w:r>
            <w:r>
              <w:rPr>
                <w:rStyle w:val="CharStyle20"/>
              </w:rPr>
              <w:t>зимняя нешипованная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8</w:t>
            </w:r>
          </w:p>
        </w:tc>
      </w:tr>
      <w:tr>
        <w:trPr>
          <w:trHeight w:val="283"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15</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 xml:space="preserve">Автомобильная шина 360/70 </w:t>
            </w:r>
            <w:r>
              <w:rPr>
                <w:rStyle w:val="CharStyle20"/>
                <w:lang w:val="en-US" w:eastAsia="en-US" w:bidi="en-US"/>
              </w:rPr>
              <w:t>R24</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w:t>
            </w:r>
          </w:p>
        </w:tc>
      </w:tr>
      <w:tr>
        <w:trPr>
          <w:trHeight w:val="288"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16</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Автомобильная шина 7,00/12</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17</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both"/>
              <w:spacing w:before="0" w:after="60" w:line="220" w:lineRule="exact"/>
              <w:ind w:left="0" w:right="0" w:firstLine="0"/>
            </w:pPr>
            <w:r>
              <w:rPr>
                <w:rStyle w:val="CharStyle20"/>
              </w:rPr>
              <w:t>Автошина</w:t>
            </w:r>
          </w:p>
          <w:p>
            <w:pPr>
              <w:pStyle w:val="Style7"/>
              <w:framePr w:w="10330" w:wrap="notBeside" w:vAnchor="text" w:hAnchor="text" w:xAlign="center" w:y="1"/>
              <w:widowControl w:val="0"/>
              <w:keepNext w:val="0"/>
              <w:keepLines w:val="0"/>
              <w:shd w:val="clear" w:color="auto" w:fill="auto"/>
              <w:bidi w:val="0"/>
              <w:jc w:val="both"/>
              <w:spacing w:before="60" w:after="0" w:line="220" w:lineRule="exact"/>
              <w:ind w:left="0" w:right="0" w:firstLine="0"/>
            </w:pPr>
            <w:r>
              <w:rPr>
                <w:rStyle w:val="CharStyle20"/>
                <w:lang w:val="en-US" w:eastAsia="en-US" w:bidi="en-US"/>
              </w:rPr>
              <w:t>20x10.00-10</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w:t>
            </w:r>
          </w:p>
        </w:tc>
      </w:tr>
      <w:tr>
        <w:trPr>
          <w:trHeight w:val="283"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18</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 xml:space="preserve">Автомобильная шина </w:t>
            </w:r>
            <w:r>
              <w:rPr>
                <w:rStyle w:val="CharStyle20"/>
                <w:lang w:val="en-US" w:eastAsia="en-US" w:bidi="en-US"/>
              </w:rPr>
              <w:t>12,00/R20</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4</w:t>
            </w:r>
          </w:p>
        </w:tc>
      </w:tr>
      <w:tr>
        <w:trPr>
          <w:trHeight w:val="840"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0"/>
              </w:rPr>
              <w:t>19</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 xml:space="preserve">Автомобильная шина на ведущую ось 265/70 </w:t>
            </w:r>
            <w:r>
              <w:rPr>
                <w:rStyle w:val="CharStyle20"/>
                <w:lang w:val="en-US" w:eastAsia="en-US" w:bidi="en-US"/>
              </w:rPr>
              <w:t>R19,5</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16</w:t>
            </w:r>
          </w:p>
        </w:tc>
      </w:tr>
      <w:tr>
        <w:trPr>
          <w:trHeight w:val="840"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20</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 xml:space="preserve">Автомобильная шина на рулевую ось 265/70 </w:t>
            </w:r>
            <w:r>
              <w:rPr>
                <w:rStyle w:val="CharStyle20"/>
                <w:lang w:val="en-US" w:eastAsia="en-US" w:bidi="en-US"/>
              </w:rPr>
              <w:t>R19,5</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8</w:t>
            </w:r>
          </w:p>
        </w:tc>
      </w:tr>
      <w:tr>
        <w:trPr>
          <w:trHeight w:val="283"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21</w:t>
            </w: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 xml:space="preserve">Автомобильная шина </w:t>
            </w:r>
            <w:r>
              <w:rPr>
                <w:rStyle w:val="CharStyle20"/>
                <w:lang w:val="en-US" w:eastAsia="en-US" w:bidi="en-US"/>
              </w:rPr>
              <w:t>8,25/R20</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8</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22</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 xml:space="preserve">Автомобильная шина 195/55 </w:t>
            </w:r>
            <w:r>
              <w:rPr>
                <w:rStyle w:val="CharStyle20"/>
                <w:lang w:val="en-US" w:eastAsia="en-US" w:bidi="en-US"/>
              </w:rPr>
              <w:t xml:space="preserve">R15 </w:t>
            </w:r>
            <w:r>
              <w:rPr>
                <w:rStyle w:val="CharStyle20"/>
              </w:rPr>
              <w:t>зимняя нешипованная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28</w:t>
            </w:r>
          </w:p>
        </w:tc>
      </w:tr>
      <w:tr>
        <w:trPr>
          <w:trHeight w:val="562"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23</w:t>
            </w:r>
          </w:p>
        </w:tc>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 xml:space="preserve">Автомобильная шина 195/55 </w:t>
            </w:r>
            <w:r>
              <w:rPr>
                <w:rStyle w:val="CharStyle20"/>
                <w:lang w:val="en-US" w:eastAsia="en-US" w:bidi="en-US"/>
              </w:rPr>
              <w:t xml:space="preserve">R15 </w:t>
            </w:r>
            <w:r>
              <w:rPr>
                <w:rStyle w:val="CharStyle20"/>
              </w:rPr>
              <w:t>зимняя шипованная</w:t>
            </w:r>
          </w:p>
        </w:tc>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32</w:t>
            </w:r>
          </w:p>
        </w:tc>
      </w:tr>
      <w:tr>
        <w:trPr>
          <w:trHeight w:val="571" w:hRule="exact"/>
        </w:trPr>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0"/>
              </w:rPr>
              <w:t>24</w:t>
            </w:r>
          </w:p>
        </w:tc>
        <w:tc>
          <w:tcPr>
            <w:shd w:val="clear" w:color="auto" w:fill="FFFFFF"/>
            <w:tcBorders>
              <w:lef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0"/>
              </w:rPr>
              <w:t xml:space="preserve">Автомобильная шина 185/75 </w:t>
            </w:r>
            <w:r>
              <w:rPr>
                <w:rStyle w:val="CharStyle20"/>
                <w:lang w:val="en-US" w:eastAsia="en-US" w:bidi="en-US"/>
              </w:rPr>
              <w:t xml:space="preserve">R16C </w:t>
            </w:r>
            <w:r>
              <w:rPr>
                <w:rStyle w:val="CharStyle20"/>
              </w:rPr>
              <w:t>всесезонная</w:t>
            </w:r>
          </w:p>
        </w:tc>
        <w:tc>
          <w:tcPr>
            <w:shd w:val="clear" w:color="auto" w:fill="FFFFFF"/>
            <w:tcBorders>
              <w:left w:val="single" w:sz="4"/>
              <w:top w:val="single" w:sz="4"/>
              <w:bottom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шт</w:t>
            </w:r>
          </w:p>
        </w:tc>
        <w:tc>
          <w:tcPr>
            <w:shd w:val="clear" w:color="auto" w:fill="FFFFFF"/>
            <w:tcBorders>
              <w:left w:val="single" w:sz="4"/>
              <w:righ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24</w:t>
            </w:r>
          </w:p>
        </w:tc>
      </w:tr>
    </w:tbl>
    <w:p>
      <w:pPr>
        <w:widowControl w:val="0"/>
        <w:rPr>
          <w:sz w:val="2"/>
          <w:szCs w:val="2"/>
        </w:rPr>
      </w:pPr>
    </w:p>
    <w:p>
      <w:pPr>
        <w:pStyle w:val="Style7"/>
        <w:widowControl w:val="0"/>
        <w:keepNext w:val="0"/>
        <w:keepLines w:val="0"/>
        <w:shd w:val="clear" w:color="auto" w:fill="auto"/>
        <w:bidi w:val="0"/>
        <w:jc w:val="both"/>
        <w:spacing w:before="54" w:after="0" w:line="260" w:lineRule="exact"/>
        <w:ind w:left="100" w:right="0" w:firstLine="900"/>
      </w:pPr>
      <w:r>
        <w:rPr>
          <w:rStyle w:val="CharStyle22"/>
        </w:rPr>
        <w:t>.»</w:t>
      </w:r>
      <w:r>
        <w:rPr>
          <w:lang w:val="ru-RU" w:eastAsia="ru-RU" w:bidi="ru-RU"/>
          <w:w w:val="100"/>
          <w:spacing w:val="0"/>
          <w:color w:val="000000"/>
          <w:position w:val="0"/>
        </w:rPr>
        <w:t xml:space="preserve"> (цитата документации об Аукционе).</w:t>
      </w:r>
    </w:p>
    <w:p>
      <w:pPr>
        <w:pStyle w:val="Style7"/>
        <w:tabs>
          <w:tab w:leader="underscore" w:pos="10161" w:val="left"/>
        </w:tabs>
        <w:widowControl w:val="0"/>
        <w:keepNext w:val="0"/>
        <w:keepLines w:val="0"/>
        <w:shd w:val="clear" w:color="auto" w:fill="auto"/>
        <w:bidi w:val="0"/>
        <w:jc w:val="both"/>
        <w:spacing w:before="0" w:after="0" w:line="322" w:lineRule="exact"/>
        <w:ind w:left="100" w:right="60" w:firstLine="900"/>
      </w:pPr>
      <w:r>
        <w:rPr>
          <w:lang w:val="ru-RU" w:eastAsia="ru-RU" w:bidi="ru-RU"/>
          <w:w w:val="100"/>
          <w:spacing w:val="0"/>
          <w:color w:val="000000"/>
          <w:position w:val="0"/>
        </w:rPr>
        <w:t xml:space="preserve">При этом в извещении о проведении Аукциона, размещенном в единой информационной системе, Заказчик информацию о количестве поставляемого товара </w:t>
      </w:r>
      <w:r>
        <w:rPr>
          <w:rStyle w:val="CharStyle12"/>
        </w:rPr>
        <w:t xml:space="preserve">указал в количестве «1,00»: </w:t>
      </w:r>
      <w:r>
        <w:rPr>
          <w:rStyle w:val="CharStyle23"/>
        </w:rPr>
        <w:t>«...</w:t>
      </w:r>
      <w:r>
        <w:rPr>
          <w:rStyle w:val="CharStyle22"/>
        </w:rPr>
        <w:tab/>
      </w:r>
    </w:p>
    <w:tbl>
      <w:tblPr>
        <w:tblOverlap w:val="never"/>
        <w:tblLayout w:type="fixed"/>
        <w:jc w:val="center"/>
      </w:tblPr>
      <w:tblGrid>
        <w:gridCol w:w="3000"/>
        <w:gridCol w:w="1526"/>
        <w:gridCol w:w="1742"/>
        <w:gridCol w:w="1282"/>
        <w:gridCol w:w="1478"/>
        <w:gridCol w:w="1070"/>
        <w:gridCol w:w="230"/>
      </w:tblGrid>
      <w:tr>
        <w:trPr>
          <w:trHeight w:val="413" w:hRule="exact"/>
        </w:trPr>
        <w:tc>
          <w:tcPr>
            <w:shd w:val="clear" w:color="auto" w:fill="FFFFFF"/>
            <w:gridSpan w:val="6"/>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4"/>
              </w:rPr>
              <w:t>Объект закупки</w:t>
            </w:r>
          </w:p>
        </w:tc>
        <w:tc>
          <w:tcPr>
            <w:shd w:val="clear" w:color="auto" w:fill="FFFFFF"/>
            <w:tcBorders>
              <w:left w:val="single" w:sz="4"/>
            </w:tcBorders>
            <w:vAlign w:val="top"/>
          </w:tcPr>
          <w:p>
            <w:pPr>
              <w:framePr w:w="10330" w:wrap="notBeside" w:vAnchor="text" w:hAnchor="text" w:xAlign="center" w:y="1"/>
              <w:widowControl w:val="0"/>
              <w:rPr>
                <w:sz w:val="10"/>
                <w:szCs w:val="10"/>
              </w:rPr>
            </w:pPr>
          </w:p>
        </w:tc>
      </w:tr>
      <w:tr>
        <w:trPr>
          <w:trHeight w:val="389"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top w:val="single" w:sz="4"/>
            </w:tcBorders>
            <w:vAlign w:val="top"/>
          </w:tcPr>
          <w:p>
            <w:pPr>
              <w:framePr w:w="10330" w:wrap="notBeside" w:vAnchor="text" w:hAnchor="text" w:xAlign="center" w:y="1"/>
              <w:widowControl w:val="0"/>
              <w:rPr>
                <w:sz w:val="10"/>
                <w:szCs w:val="10"/>
              </w:rPr>
            </w:pPr>
          </w:p>
        </w:tc>
        <w:tc>
          <w:tcPr>
            <w:shd w:val="clear" w:color="auto" w:fill="FFFFFF"/>
            <w:tcBorders>
              <w:top w:val="single" w:sz="4"/>
            </w:tcBorders>
            <w:vAlign w:val="top"/>
          </w:tcPr>
          <w:p>
            <w:pPr>
              <w:framePr w:w="10330" w:wrap="notBeside" w:vAnchor="text" w:hAnchor="text" w:xAlign="center" w:y="1"/>
              <w:widowControl w:val="0"/>
              <w:rPr>
                <w:sz w:val="10"/>
                <w:szCs w:val="10"/>
              </w:rPr>
            </w:pPr>
          </w:p>
        </w:tc>
        <w:tc>
          <w:tcPr>
            <w:shd w:val="clear" w:color="auto" w:fill="FFFFFF"/>
            <w:tcBorders>
              <w:top w:val="single" w:sz="4"/>
            </w:tcBorders>
            <w:vAlign w:val="top"/>
          </w:tcPr>
          <w:p>
            <w:pPr>
              <w:framePr w:w="10330" w:wrap="notBeside" w:vAnchor="text" w:hAnchor="text" w:xAlign="center" w:y="1"/>
              <w:widowControl w:val="0"/>
              <w:rPr>
                <w:sz w:val="10"/>
                <w:szCs w:val="10"/>
              </w:rPr>
            </w:pPr>
          </w:p>
        </w:tc>
        <w:tc>
          <w:tcPr>
            <w:shd w:val="clear" w:color="auto" w:fill="FFFFFF"/>
            <w:gridSpan w:val="2"/>
            <w:tcBorders>
              <w:top w:val="single" w:sz="4"/>
            </w:tcBorders>
            <w:vAlign w:val="bottom"/>
          </w:tcPr>
          <w:p>
            <w:pPr>
              <w:pStyle w:val="Style7"/>
              <w:framePr w:w="10330" w:wrap="notBeside" w:vAnchor="text" w:hAnchor="text" w:xAlign="center" w:y="1"/>
              <w:widowControl w:val="0"/>
              <w:keepNext w:val="0"/>
              <w:keepLines w:val="0"/>
              <w:shd w:val="clear" w:color="auto" w:fill="auto"/>
              <w:bidi w:val="0"/>
              <w:jc w:val="right"/>
              <w:spacing w:before="0" w:after="0" w:line="220" w:lineRule="exact"/>
              <w:ind w:left="0" w:right="0" w:firstLine="0"/>
            </w:pPr>
            <w:r>
              <w:rPr>
                <w:rStyle w:val="CharStyle20"/>
              </w:rPr>
              <w:t>Российский рубл</w:t>
            </w:r>
          </w:p>
        </w:tc>
        <w:tc>
          <w:tcPr>
            <w:shd w:val="clear" w:color="auto" w:fill="FFFFFF"/>
            <w:tcBorders>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0" w:right="0" w:firstLine="0"/>
            </w:pPr>
            <w:r>
              <w:rPr>
                <w:rStyle w:val="CharStyle20"/>
              </w:rPr>
              <w:t>ь</w:t>
            </w:r>
          </w:p>
        </w:tc>
      </w:tr>
      <w:tr>
        <w:trPr>
          <w:trHeight w:val="634"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0"/>
              </w:rPr>
              <w:t>Наименование товара, работ, услуг</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69" w:lineRule="exact"/>
              <w:ind w:left="40" w:right="0" w:firstLine="0"/>
            </w:pPr>
            <w:r>
              <w:rPr>
                <w:rStyle w:val="CharStyle20"/>
              </w:rPr>
              <w:t>Код по ОКПД2</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120" w:line="220" w:lineRule="exact"/>
              <w:ind w:left="40" w:right="0" w:firstLine="0"/>
            </w:pPr>
            <w:r>
              <w:rPr>
                <w:rStyle w:val="CharStyle20"/>
              </w:rPr>
              <w:t>Единица</w:t>
            </w:r>
          </w:p>
          <w:p>
            <w:pPr>
              <w:pStyle w:val="Style7"/>
              <w:framePr w:w="10330" w:wrap="notBeside" w:vAnchor="text" w:hAnchor="text" w:xAlign="center" w:y="1"/>
              <w:widowControl w:val="0"/>
              <w:keepNext w:val="0"/>
              <w:keepLines w:val="0"/>
              <w:shd w:val="clear" w:color="auto" w:fill="auto"/>
              <w:bidi w:val="0"/>
              <w:jc w:val="left"/>
              <w:spacing w:before="120" w:after="0" w:line="220" w:lineRule="exact"/>
              <w:ind w:left="40" w:right="0" w:firstLine="0"/>
            </w:pPr>
            <w:r>
              <w:rPr>
                <w:rStyle w:val="CharStyle20"/>
              </w:rPr>
              <w:t>измерения</w:t>
            </w:r>
          </w:p>
        </w:tc>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0"/>
              </w:rPr>
              <w:t>Количество</w:t>
            </w:r>
          </w:p>
        </w:tc>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40" w:right="0" w:firstLine="0"/>
            </w:pPr>
            <w:r>
              <w:rPr>
                <w:rStyle w:val="CharStyle20"/>
              </w:rPr>
              <w:t>Цена за ед.изм.</w:t>
            </w:r>
          </w:p>
        </w:tc>
        <w:tc>
          <w:tcPr>
            <w:shd w:val="clear" w:color="auto" w:fill="FFFFFF"/>
            <w:gridSpan w:val="2"/>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0"/>
              </w:rPr>
              <w:t>Стоимость</w:t>
            </w:r>
          </w:p>
        </w:tc>
      </w:tr>
      <w:tr>
        <w:trPr>
          <w:trHeight w:val="418" w:hRule="exact"/>
        </w:trPr>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0"/>
              </w:rPr>
              <w:t>Шины автомобильные</w:t>
            </w:r>
          </w:p>
        </w:tc>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40" w:right="0" w:firstLine="0"/>
            </w:pPr>
            <w:r>
              <w:rPr>
                <w:rStyle w:val="CharStyle20"/>
              </w:rPr>
              <w:t>22.11.11.000</w:t>
            </w:r>
          </w:p>
        </w:tc>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40" w:right="0" w:firstLine="0"/>
            </w:pPr>
            <w:r>
              <w:rPr>
                <w:rStyle w:val="CharStyle20"/>
              </w:rPr>
              <w:t>УСЛ ЕД</w:t>
            </w:r>
          </w:p>
        </w:tc>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0"/>
              </w:rPr>
              <w:t>1.00</w:t>
            </w:r>
          </w:p>
        </w:tc>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40" w:right="0" w:firstLine="0"/>
            </w:pPr>
            <w:r>
              <w:rPr>
                <w:rStyle w:val="CharStyle20"/>
              </w:rPr>
              <w:t>4201025.91</w:t>
            </w:r>
          </w:p>
        </w:tc>
        <w:tc>
          <w:tcPr>
            <w:shd w:val="clear" w:color="auto" w:fill="FFFFFF"/>
            <w:gridSpan w:val="2"/>
            <w:tcBorders>
              <w:left w:val="single" w:sz="4"/>
              <w:righ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0"/>
              </w:rPr>
              <w:t>4201025.91</w:t>
            </w:r>
          </w:p>
        </w:tc>
      </w:tr>
    </w:tbl>
    <w:p>
      <w:pPr>
        <w:widowControl w:val="0"/>
        <w:rPr>
          <w:sz w:val="2"/>
          <w:szCs w:val="2"/>
        </w:rPr>
      </w:pPr>
    </w:p>
    <w:p>
      <w:pPr>
        <w:pStyle w:val="Style25"/>
        <w:tabs>
          <w:tab w:leader="none" w:pos="8948" w:val="right"/>
          <w:tab w:leader="none" w:pos="10208" w:val="righ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20" w:right="0" w:firstLine="0"/>
      </w:pPr>
      <w:r>
        <w:rPr>
          <w:rStyle w:val="CharStyle27"/>
        </w:rPr>
        <w:t>||</w:t>
        <w:tab/>
        <w:t>Итого:</w:t>
        <w:tab/>
        <w:t>4201025.91|</w:t>
      </w:r>
    </w:p>
    <w:p>
      <w:pPr>
        <w:pStyle w:val="Style3"/>
        <w:tabs>
          <w:tab w:leader="none" w:pos="10208" w:val="righ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427" w:lineRule="exact"/>
        <w:ind w:left="20" w:right="0" w:firstLine="0"/>
      </w:pPr>
      <w:r>
        <w:rPr>
          <w:rStyle w:val="CharStyle29"/>
          <w:b/>
          <w:bCs/>
        </w:rPr>
        <w:t>Преимущества и требования к участникам</w:t>
        <w:tab/>
        <w:t>|</w:t>
      </w:r>
      <w:r>
        <w:rPr>
          <w:lang w:val="ru-RU" w:eastAsia="ru-RU" w:bidi="ru-RU"/>
          <w:w w:val="100"/>
          <w:spacing w:val="0"/>
          <w:color w:val="000000"/>
          <w:position w:val="0"/>
        </w:rPr>
        <w:t>|~</w:t>
      </w:r>
    </w:p>
    <w:p>
      <w:pPr>
        <w:pStyle w:val="Style7"/>
        <w:widowControl w:val="0"/>
        <w:keepNext w:val="0"/>
        <w:keepLines w:val="0"/>
        <w:shd w:val="clear" w:color="auto" w:fill="auto"/>
        <w:bidi w:val="0"/>
        <w:jc w:val="both"/>
        <w:spacing w:before="0" w:after="0" w:line="260" w:lineRule="exact"/>
        <w:ind w:left="20" w:right="0" w:firstLine="1000"/>
      </w:pPr>
      <w:r>
        <w:rPr>
          <w:rStyle w:val="CharStyle22"/>
        </w:rPr>
        <w:t>.»</w:t>
      </w:r>
      <w:r>
        <w:rPr>
          <w:lang w:val="ru-RU" w:eastAsia="ru-RU" w:bidi="ru-RU"/>
          <w:w w:val="100"/>
          <w:spacing w:val="0"/>
          <w:color w:val="000000"/>
          <w:position w:val="0"/>
        </w:rPr>
        <w:t xml:space="preserve"> (цитата извещения об осуществлении закупки).</w:t>
      </w:r>
    </w:p>
    <w:p>
      <w:pPr>
        <w:pStyle w:val="Style7"/>
        <w:widowControl w:val="0"/>
        <w:keepNext w:val="0"/>
        <w:keepLines w:val="0"/>
        <w:shd w:val="clear" w:color="auto" w:fill="auto"/>
        <w:bidi w:val="0"/>
        <w:jc w:val="both"/>
        <w:spacing w:before="0" w:after="180" w:line="322" w:lineRule="exact"/>
        <w:ind w:left="20" w:right="20" w:firstLine="1000"/>
      </w:pPr>
      <w:r>
        <w:rPr>
          <w:lang w:val="ru-RU" w:eastAsia="ru-RU" w:bidi="ru-RU"/>
          <w:w w:val="100"/>
          <w:spacing w:val="0"/>
          <w:color w:val="000000"/>
          <w:position w:val="0"/>
        </w:rPr>
        <w:t>Таким образом, действия Заказчика, выразившиеся в указании в извещении о проведении Аукциона не надлежащего количества товара, поставляемого участником во исполнение контракта, заключенного по итогам Аукциона, нарушают требования пункта 2 статьи 42, части 5 стати 63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numPr>
          <w:ilvl w:val="1"/>
          <w:numId w:val="9"/>
        </w:numPr>
        <w:tabs>
          <w:tab w:leader="none" w:pos="142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Статья 33 Закона о контрактной системе предписывает заказчику при описании в документации о закупке объекта закупки руководствоваться правилами, изложенными в указанной статье.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33 Закона о контрактной системе установлено,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 В соответствии с частью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направленные на обеспечение государственных и муниципальных нужд.</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Одним из таких законов является Федеральный закон от 26.07.2006 №135-ФЗ «О защите конкуренции» (далее - Закон о защите конкуренции), целью которого является обеспечение единства экономического пространства в Российской Федерации, защита конкуренции и создание условий для эффективного функционирования товарных рынков (часть 2 статьи 1 Закона о защите конкуренции).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1 статьи 17 Закона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части 2 статьи 17 Закона о защите конкуренции наряду с установленными частью 1 статьи 17 Закона о защите конкуренции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 3 статьи 17 Закон о защите конкуренции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поставкой, выполнение, оказание которых являются предметом торгов, запроса котировок, запроса предложений.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при размещении соответствующих заказов заказчик вправе предусмотреть в документации о закупке необходимость поставки и монтажа оборудования, неразрывно связанного с друг с другом. При этом в качестве неразрывно связанного с оборудования следует рассматривать оборудование, поставка и установка которого невозможна впоследствии без изменения предусмотренных конструктивных решений.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техническом задании документации об Аукционе Заказчик установил в одном лоте закупки как автомобильных шин, так и гусениц резиновых.</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1 статьи 1 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Объединение в один лот закупки автомобильных шин и гусениц резиновых исключает возможность участия в торгах хозяйствующих субъектов, заинтересованных в выполнении государственного контракта только в части поставки автомобильных шин или гусениц резиновых.</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Обладая индивидуально-определенными свойствами, каждый вид указанных выше товаров, включенных в описание объекта закупки, привлекает к закупке специфический круг хозяйствующих субъектов. Объединение в один лот различных товаров, перечисленных в описании объекта закупки и обладающих разным набором потребительских свойств, неизбежно ведет к отказу от участия в закупке лиц, заинтересованных в поставке определенных товаров, приводит к сокращению числа претендентов, заинтересованных каждый в своем наборе специфических характеристик, и ограничивает конкуренцию.</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Учитывая изложенные обстоятельства, данные действия Заказчика, выразившиеся в объединении в один лот закупку товаров (как автомобильных шин, так и гусениц резиновых), функционально и технических не связанных друг с другом, нарушают требования пункта 1 части 1 статьи 33, пункта 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11"/>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пунктов 1, 2 части 1 статьи 33; пункта 2 статьи 42, части 5 стати 63; пунктов 1; 2 части 1 статьи 64 Закона о контрактной системе.</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№06/4203-17 для рассмотрения вопроса о возбуждении дела об административном правонарушении.</w:t>
      </w:r>
    </w:p>
    <w:p>
      <w:pPr>
        <w:pStyle w:val="Style7"/>
        <w:numPr>
          <w:ilvl w:val="0"/>
          <w:numId w:val="1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06/12638.</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77" w:val="right"/>
          <w:tab w:leader="none" w:pos="8410" w:val="right"/>
          <w:tab w:leader="none" w:pos="961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15" w:val="right"/>
          <w:tab w:leader="none" w:pos="839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90" w:y="1"/>
        <w:widowControl w:val="0"/>
        <w:keepNext w:val="0"/>
        <w:keepLines w:val="0"/>
        <w:shd w:val="clear" w:color="auto" w:fill="auto"/>
        <w:bidi w:val="0"/>
        <w:jc w:val="left"/>
        <w:spacing w:before="0" w:after="0" w:line="240" w:lineRule="exact"/>
        <w:ind w:left="0" w:right="0" w:firstLine="0"/>
      </w:pPr>
      <w:r>
        <w:rPr>
          <w:rStyle w:val="CharStyle8"/>
        </w:rPr>
        <w:t>Член Комиссии:</w:t>
      </w:r>
    </w:p>
    <w:p>
      <w:pPr>
        <w:pStyle w:val="Style7"/>
        <w:tabs>
          <w:tab w:leader="none" w:pos="6155" w:val="left"/>
        </w:tabs>
        <w:widowControl w:val="0"/>
        <w:keepNext w:val="0"/>
        <w:keepLines w:val="0"/>
        <w:shd w:val="clear" w:color="auto" w:fill="auto"/>
        <w:bidi w:val="0"/>
        <w:jc w:val="both"/>
        <w:spacing w:before="0" w:after="0" w:line="260" w:lineRule="exact"/>
        <w:ind w:left="5780" w:right="0" w:firstLine="0"/>
        <w:sectPr>
          <w:footnotePr>
            <w:pos w:val="pageBottom"/>
            <w:numFmt w:val="decimal"/>
            <w:numRestart w:val="continuous"/>
          </w:footnotePr>
          <w:type w:val="continuous"/>
          <w:pgSz w:w="11906" w:h="16838"/>
          <w:pgMar w:top="1335" w:left="836" w:right="678" w:bottom="850"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1906" w:h="16838"/>
          <w:pgMar w:top="1754" w:left="2675" w:right="8128" w:bottom="928" w:header="0" w:footer="3" w:gutter="0"/>
          <w:rtlGutter w:val="0"/>
          <w:cols w:space="720"/>
          <w:noEndnote/>
          <w:docGrid w:linePitch="360"/>
        </w:sectPr>
      </w:pPr>
    </w:p>
    <w:p>
      <w:pPr>
        <w:pStyle w:val="Style3"/>
        <w:widowControl w:val="0"/>
        <w:keepNext w:val="0"/>
        <w:keepLines w:val="0"/>
        <w:shd w:val="clear" w:color="auto" w:fill="auto"/>
        <w:bidi w:val="0"/>
        <w:spacing w:before="0" w:after="176"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3"/>
        </w:numPr>
        <w:tabs>
          <w:tab w:leader="none" w:pos="1423" w:val="left"/>
        </w:tabs>
        <w:widowControl w:val="0"/>
        <w:keepNext w:val="0"/>
        <w:keepLines w:val="0"/>
        <w:shd w:val="clear" w:color="auto" w:fill="auto"/>
        <w:bidi w:val="0"/>
        <w:jc w:val="left"/>
        <w:spacing w:before="0" w:after="0" w:line="562" w:lineRule="exact"/>
        <w:ind w:left="40" w:right="1600" w:firstLine="0"/>
      </w:pPr>
      <w:r>
        <w:rPr>
          <w:lang w:val="ru-RU" w:eastAsia="ru-RU" w:bidi="ru-RU"/>
          <w:w w:val="100"/>
          <w:spacing w:val="0"/>
          <w:color w:val="000000"/>
          <w:position w:val="0"/>
        </w:rPr>
        <w:t>№06/12997 На № 1-31/10 от 31.10.2017</w:t>
      </w:r>
    </w:p>
    <w:p>
      <w:pPr>
        <w:pStyle w:val="Style7"/>
        <w:numPr>
          <w:ilvl w:val="0"/>
          <w:numId w:val="15"/>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Федеральное государственное бюджетное образовательное учреждение «Международный детский центр «Артек»</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298645, Республика Крым, г. Ялта, пгт. Гурзуф, ул. Ленинградская, 41</w:t>
      </w:r>
    </w:p>
    <w:p>
      <w:pPr>
        <w:pStyle w:val="Style7"/>
        <w:numPr>
          <w:ilvl w:val="0"/>
          <w:numId w:val="15"/>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 ответственностью «Еврогрупп»</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1754" w:left="793" w:right="1167" w:bottom="928" w:header="0" w:footer="3" w:gutter="0"/>
          <w:rtlGutter w:val="0"/>
          <w:cols w:num="2" w:space="192"/>
          <w:noEndnote/>
          <w:docGrid w:linePitch="360"/>
        </w:sectPr>
      </w:pPr>
      <w:r>
        <w:rPr>
          <w:lang w:val="ru-RU" w:eastAsia="ru-RU" w:bidi="ru-RU"/>
          <w:w w:val="100"/>
          <w:spacing w:val="0"/>
          <w:color w:val="000000"/>
          <w:position w:val="0"/>
        </w:rPr>
        <w:t>355008, г. Ставрополь, ул. Гражданская, д. 11</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5"/>
        </w:numPr>
        <w:tabs>
          <w:tab w:leader="none" w:pos="5320" w:val="left"/>
        </w:tabs>
        <w:widowControl w:val="0"/>
        <w:keepNext w:val="0"/>
        <w:keepLines w:val="0"/>
        <w:shd w:val="clear" w:color="auto" w:fill="auto"/>
        <w:bidi w:val="0"/>
        <w:jc w:val="left"/>
        <w:spacing w:before="0" w:after="0" w:line="322" w:lineRule="exact"/>
        <w:ind w:left="4980" w:right="440" w:firstLine="0"/>
      </w:pPr>
      <w:r>
        <w:rPr>
          <w:lang w:val="ru-RU" w:eastAsia="ru-RU" w:bidi="ru-RU"/>
          <w:w w:val="100"/>
          <w:spacing w:val="0"/>
          <w:color w:val="000000"/>
          <w:position w:val="0"/>
        </w:rPr>
        <w:t>Оператор электронной площадки: ЗАО «Сбербанк - Автоматизированная система торгов»</w:t>
      </w:r>
    </w:p>
    <w:p>
      <w:pPr>
        <w:pStyle w:val="Style7"/>
        <w:widowControl w:val="0"/>
        <w:keepNext w:val="0"/>
        <w:keepLines w:val="0"/>
        <w:shd w:val="clear" w:color="auto" w:fill="auto"/>
        <w:bidi w:val="0"/>
        <w:jc w:val="left"/>
        <w:spacing w:before="0" w:after="64" w:line="326" w:lineRule="exact"/>
        <w:ind w:left="4980" w:right="440" w:firstLine="0"/>
      </w:pPr>
      <w:r>
        <w:rPr>
          <w:lang w:val="ru-RU" w:eastAsia="ru-RU" w:bidi="ru-RU"/>
          <w:w w:val="100"/>
          <w:spacing w:val="0"/>
          <w:color w:val="000000"/>
          <w:position w:val="0"/>
        </w:rPr>
        <w:t>119435, г. Москва, Большой Саввинский переулок, д. 12, строение 9</w:t>
      </w:r>
    </w:p>
    <w:p>
      <w:pPr>
        <w:pStyle w:val="Style10"/>
        <w:widowControl w:val="0"/>
        <w:keepNext w:val="0"/>
        <w:keepLines w:val="0"/>
        <w:shd w:val="clear" w:color="auto" w:fill="auto"/>
        <w:bidi w:val="0"/>
        <w:jc w:val="left"/>
        <w:spacing w:before="0" w:after="289"/>
        <w:ind w:left="840" w:right="0" w:firstLine="3440"/>
      </w:pPr>
      <w:r>
        <w:rPr>
          <w:lang w:val="ru-RU" w:eastAsia="ru-RU" w:bidi="ru-RU"/>
          <w:w w:val="100"/>
          <w:spacing w:val="0"/>
          <w:color w:val="000000"/>
          <w:position w:val="0"/>
        </w:rPr>
        <w:t>Предписание по делу №06/4203-17 об устранении нарушений законодательства Российской Федерации о контрактной системе в сфере закупок</w:t>
      </w:r>
    </w:p>
    <w:p>
      <w:pPr>
        <w:pStyle w:val="Style7"/>
        <w:framePr w:h="240" w:vSpace="317" w:wrap="around" w:vAnchor="text" w:hAnchor="margin" w:x="206" w:y="6"/>
        <w:widowControl w:val="0"/>
        <w:keepNext w:val="0"/>
        <w:keepLines w:val="0"/>
        <w:shd w:val="clear" w:color="auto" w:fill="auto"/>
        <w:bidi w:val="0"/>
        <w:jc w:val="left"/>
        <w:spacing w:before="0" w:after="0" w:line="240" w:lineRule="exact"/>
        <w:ind w:left="100" w:right="0" w:firstLine="0"/>
      </w:pPr>
      <w:r>
        <w:rPr>
          <w:rStyle w:val="CharStyle8"/>
        </w:rPr>
        <w:t>13.11.2017</w:t>
      </w:r>
    </w:p>
    <w:p>
      <w:pPr>
        <w:pStyle w:val="Style7"/>
        <w:widowControl w:val="0"/>
        <w:keepNext w:val="0"/>
        <w:keepLines w:val="0"/>
        <w:shd w:val="clear" w:color="auto" w:fill="auto"/>
        <w:bidi w:val="0"/>
        <w:jc w:val="right"/>
        <w:spacing w:before="0" w:after="193" w:line="260" w:lineRule="exact"/>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236" w:line="322" w:lineRule="exact"/>
        <w:ind w:left="0" w:right="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31"/>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248" w:line="326" w:lineRule="exact"/>
        <w:ind w:left="0" w:right="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решения Комиссии от 13.11.2017 по делу №06/4203-17 по итогам рассмотрения жалобы Заявителя от 31.10.2017 № 1-31/10 (вх. №4780/09 от</w:t>
      </w:r>
    </w:p>
    <w:p>
      <w:pPr>
        <w:pStyle w:val="Style7"/>
        <w:numPr>
          <w:ilvl w:val="0"/>
          <w:numId w:val="17"/>
        </w:numPr>
        <w:tabs>
          <w:tab w:leader="none" w:pos="1623" w:val="left"/>
        </w:tabs>
        <w:widowControl w:val="0"/>
        <w:keepNext w:val="0"/>
        <w:keepLines w:val="0"/>
        <w:shd w:val="clear" w:color="auto" w:fill="auto"/>
        <w:bidi w:val="0"/>
        <w:jc w:val="both"/>
        <w:spacing w:before="0" w:after="289" w:line="322" w:lineRule="exact"/>
        <w:ind w:left="20" w:right="20" w:firstLine="0"/>
      </w:pPr>
      <w:r>
        <w:rPr>
          <w:lang w:val="ru-RU" w:eastAsia="ru-RU" w:bidi="ru-RU"/>
          <w:w w:val="100"/>
          <w:spacing w:val="0"/>
          <w:color w:val="000000"/>
          <w:position w:val="0"/>
        </w:rPr>
        <w:t xml:space="preserve">на действия Заказчика при проведении электронного аукциона «Поставка автомобильных </w:t>
      </w:r>
      <w:r>
        <w:rPr>
          <w:rStyle w:val="CharStyle12"/>
        </w:rPr>
        <w:t>ши</w:t>
      </w:r>
      <w:r>
        <w:rPr>
          <w:lang w:val="ru-RU" w:eastAsia="ru-RU" w:bidi="ru-RU"/>
          <w:w w:val="100"/>
          <w:spacing w:val="0"/>
          <w:color w:val="000000"/>
          <w:position w:val="0"/>
        </w:rPr>
        <w:t>н» (номер извещения 0375100001217000389)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center"/>
        <w:spacing w:before="0" w:after="243" w:line="260" w:lineRule="exact"/>
        <w:ind w:left="20" w:right="0" w:firstLine="0"/>
      </w:pPr>
      <w:r>
        <w:rPr>
          <w:lang w:val="ru-RU" w:eastAsia="ru-RU" w:bidi="ru-RU"/>
          <w:w w:val="100"/>
          <w:spacing w:val="0"/>
          <w:color w:val="000000"/>
          <w:position w:val="0"/>
        </w:rPr>
        <w:t>ПРЕДПИСЫВАЕТ:</w:t>
      </w:r>
    </w:p>
    <w:p>
      <w:pPr>
        <w:pStyle w:val="Style7"/>
        <w:numPr>
          <w:ilvl w:val="0"/>
          <w:numId w:val="19"/>
        </w:numPr>
        <w:widowControl w:val="0"/>
        <w:keepNext w:val="0"/>
        <w:keepLines w:val="0"/>
        <w:shd w:val="clear" w:color="auto" w:fill="auto"/>
        <w:bidi w:val="0"/>
        <w:jc w:val="both"/>
        <w:spacing w:before="0" w:after="289" w:line="322" w:lineRule="exact"/>
        <w:ind w:left="20" w:right="20" w:firstLine="860"/>
      </w:pPr>
      <w:r>
        <w:rPr>
          <w:lang w:val="ru-RU" w:eastAsia="ru-RU" w:bidi="ru-RU"/>
          <w:w w:val="100"/>
          <w:spacing w:val="0"/>
          <w:color w:val="000000"/>
          <w:position w:val="0"/>
        </w:rPr>
        <w:t xml:space="preserve"> Заказчику, Единой комиссии Заказчика отменить протоколы, составленные при проведении Аукциона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19"/>
        </w:numPr>
        <w:widowControl w:val="0"/>
        <w:keepNext w:val="0"/>
        <w:keepLines w:val="0"/>
        <w:shd w:val="clear" w:color="auto" w:fill="auto"/>
        <w:bidi w:val="0"/>
        <w:jc w:val="both"/>
        <w:spacing w:before="0" w:after="253" w:line="260" w:lineRule="exact"/>
        <w:ind w:left="2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привести документацию об Аукционе в соответствие с положениями законодательства Российской Федерации о контрактной системе в сфере закупок и с учетом решения от 13.11.2017 по делу №06/4203-17 и разместить измененную документацию об Аукционе на официальном сайте;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19"/>
        </w:numPr>
        <w:widowControl w:val="0"/>
        <w:keepNext w:val="0"/>
        <w:keepLines w:val="0"/>
        <w:shd w:val="clear" w:color="auto" w:fill="auto"/>
        <w:bidi w:val="0"/>
        <w:jc w:val="both"/>
        <w:spacing w:before="0" w:after="286"/>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jc w:val="both"/>
        <w:spacing w:before="0" w:after="297" w:line="260" w:lineRule="exact"/>
        <w:ind w:left="0" w:right="0" w:firstLine="860"/>
      </w:pPr>
      <w:r>
        <w:rPr>
          <w:lang w:val="ru-RU" w:eastAsia="ru-RU" w:bidi="ru-RU"/>
          <w:w w:val="100"/>
          <w:spacing w:val="0"/>
          <w:color w:val="000000"/>
          <w:position w:val="0"/>
        </w:rPr>
        <w:t xml:space="preserve"> отменить протокол проведения Аукциона;</w:t>
      </w:r>
    </w:p>
    <w:p>
      <w:pPr>
        <w:pStyle w:val="Style7"/>
        <w:numPr>
          <w:ilvl w:val="0"/>
          <w:numId w:val="7"/>
        </w:numPr>
        <w:widowControl w:val="0"/>
        <w:keepNext w:val="0"/>
        <w:keepLines w:val="0"/>
        <w:shd w:val="clear" w:color="auto" w:fill="auto"/>
        <w:bidi w:val="0"/>
        <w:jc w:val="both"/>
        <w:spacing w:before="0" w:after="247" w:line="260"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7"/>
        </w:numPr>
        <w:widowControl w:val="0"/>
        <w:keepNext w:val="0"/>
        <w:keepLines w:val="0"/>
        <w:shd w:val="clear" w:color="auto" w:fill="auto"/>
        <w:bidi w:val="0"/>
        <w:jc w:val="both"/>
        <w:spacing w:before="0" w:after="236"/>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7"/>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7"/>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об отмене Протоколов, Протокола проведения Аукциона,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19"/>
        </w:numPr>
        <w:widowControl w:val="0"/>
        <w:keepNext w:val="0"/>
        <w:keepLines w:val="0"/>
        <w:shd w:val="clear" w:color="auto" w:fill="auto"/>
        <w:bidi w:val="0"/>
        <w:jc w:val="both"/>
        <w:spacing w:before="0" w:after="236"/>
        <w:ind w:left="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13.11.2017 по делу №06/4203-17.</w:t>
      </w:r>
    </w:p>
    <w:p>
      <w:pPr>
        <w:pStyle w:val="Style7"/>
        <w:numPr>
          <w:ilvl w:val="0"/>
          <w:numId w:val="19"/>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в срок до 15.12.2017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19"/>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06/12638.</w:t>
      </w:r>
    </w:p>
    <w:p>
      <w:pPr>
        <w:pStyle w:val="Style7"/>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w:t>
      </w:r>
    </w:p>
    <w:p>
      <w:pPr>
        <w:pStyle w:val="Style7"/>
        <w:widowControl w:val="0"/>
        <w:keepNext w:val="0"/>
        <w:keepLines w:val="0"/>
        <w:shd w:val="clear" w:color="auto" w:fill="auto"/>
        <w:bidi w:val="0"/>
        <w:jc w:val="left"/>
        <w:spacing w:before="0" w:after="343" w:line="322" w:lineRule="exact"/>
        <w:ind w:left="0" w:right="280" w:firstLine="0"/>
      </w:pPr>
      <w:r>
        <w:rPr>
          <w:lang w:val="ru-RU" w:eastAsia="ru-RU" w:bidi="ru-RU"/>
          <w:w w:val="100"/>
          <w:spacing w:val="0"/>
          <w:color w:val="000000"/>
          <w:position w:val="0"/>
        </w:rPr>
        <w:t>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50" w:val="right"/>
          <w:tab w:leader="none" w:pos="8386" w:val="right"/>
          <w:tab w:leader="none" w:pos="964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46" w:val="right"/>
          <w:tab w:leader="none" w:pos="837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9646" w:val="right"/>
          <w:tab w:leader="none" w:pos="8376" w:val="right"/>
          <w:tab w:leader="none" w:pos="974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 Комиссии:</w:t>
        <w:tab/>
        <w:t>О.</w:t>
        <w:tab/>
        <w:t>А.</w:t>
        <w:tab/>
        <w:t>Шалимова</w:t>
      </w:r>
    </w:p>
    <w:sectPr>
      <w:type w:val="continuous"/>
      <w:pgSz w:w="11906" w:h="16838"/>
      <w:pgMar w:top="1559" w:left="788" w:right="658" w:bottom="10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4">
    <w:name w:val="Основной текст"/>
    <w:basedOn w:val="CharStyle9"/>
    <w:rPr>
      <w:lang w:val="en-US" w:eastAsia="en-US" w:bidi="en-US"/>
      <w:w w:val="100"/>
      <w:spacing w:val="0"/>
      <w:color w:val="000000"/>
      <w:position w:val="0"/>
    </w:rPr>
  </w:style>
  <w:style w:type="character" w:customStyle="1" w:styleId="CharStyle16">
    <w:name w:val="Подпись к таблице_"/>
    <w:basedOn w:val="DefaultParagraphFont"/>
    <w:link w:val="Style15"/>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Подпись к таблице"/>
    <w:basedOn w:val="CharStyle16"/>
    <w:rPr>
      <w:lang w:val="ru-RU" w:eastAsia="ru-RU" w:bidi="ru-RU"/>
      <w:u w:val="single"/>
      <w:w w:val="100"/>
      <w:spacing w:val="0"/>
      <w:color w:val="000000"/>
      <w:position w:val="0"/>
    </w:rPr>
  </w:style>
  <w:style w:type="character" w:customStyle="1" w:styleId="CharStyle18">
    <w:name w:val="Подпись к таблице"/>
    <w:basedOn w:val="CharStyle16"/>
    <w:rPr>
      <w:lang w:val="ru-RU" w:eastAsia="ru-RU" w:bidi="ru-RU"/>
      <w:u w:val="single"/>
      <w:w w:val="100"/>
      <w:spacing w:val="0"/>
      <w:color w:val="000000"/>
      <w:position w:val="0"/>
    </w:rPr>
  </w:style>
  <w:style w:type="character" w:customStyle="1" w:styleId="CharStyle19">
    <w:name w:val="Подпись к таблице"/>
    <w:basedOn w:val="CharStyle16"/>
    <w:rPr>
      <w:lang w:val="1024"/>
      <w:w w:val="100"/>
      <w:spacing w:val="0"/>
      <w:color w:val="000000"/>
      <w:position w:val="0"/>
    </w:rPr>
  </w:style>
  <w:style w:type="character" w:customStyle="1" w:styleId="CharStyle20">
    <w:name w:val="Основной текст + 11 pt"/>
    <w:basedOn w:val="CharStyle9"/>
    <w:rPr>
      <w:lang w:val="ru-RU" w:eastAsia="ru-RU" w:bidi="ru-RU"/>
      <w:sz w:val="22"/>
      <w:szCs w:val="22"/>
      <w:w w:val="100"/>
      <w:spacing w:val="0"/>
      <w:color w:val="000000"/>
      <w:position w:val="0"/>
    </w:rPr>
  </w:style>
  <w:style w:type="character" w:customStyle="1" w:styleId="CharStyle21">
    <w:name w:val="Основной текст + 7,5 pt"/>
    <w:basedOn w:val="CharStyle9"/>
    <w:rPr>
      <w:lang w:val="ru-RU" w:eastAsia="ru-RU" w:bidi="ru-RU"/>
      <w:sz w:val="15"/>
      <w:szCs w:val="15"/>
      <w:w w:val="100"/>
      <w:spacing w:val="0"/>
      <w:color w:val="000000"/>
      <w:position w:val="0"/>
    </w:rPr>
  </w:style>
  <w:style w:type="character" w:customStyle="1" w:styleId="CharStyle22">
    <w:name w:val="Основной текст"/>
    <w:basedOn w:val="CharStyle9"/>
    <w:rPr>
      <w:lang w:val="ru-RU" w:eastAsia="ru-RU" w:bidi="ru-RU"/>
      <w:w w:val="100"/>
      <w:spacing w:val="0"/>
      <w:color w:val="000000"/>
      <w:position w:val="0"/>
    </w:rPr>
  </w:style>
  <w:style w:type="character" w:customStyle="1" w:styleId="CharStyle23">
    <w:name w:val="Основной текст"/>
    <w:basedOn w:val="CharStyle9"/>
    <w:rPr>
      <w:lang w:val="ru-RU" w:eastAsia="ru-RU" w:bidi="ru-RU"/>
      <w:u w:val="single"/>
      <w:w w:val="100"/>
      <w:spacing w:val="0"/>
      <w:color w:val="000000"/>
      <w:position w:val="0"/>
    </w:rPr>
  </w:style>
  <w:style w:type="character" w:customStyle="1" w:styleId="CharStyle24">
    <w:name w:val="Основной текст + 11,5 pt,Полужирный"/>
    <w:basedOn w:val="CharStyle9"/>
    <w:rPr>
      <w:lang w:val="ru-RU" w:eastAsia="ru-RU" w:bidi="ru-RU"/>
      <w:b/>
      <w:bCs/>
      <w:sz w:val="23"/>
      <w:szCs w:val="23"/>
      <w:w w:val="100"/>
      <w:spacing w:val="0"/>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5)"/>
    <w:basedOn w:val="CharStyle26"/>
    <w:rPr>
      <w:lang w:val="ru-RU" w:eastAsia="ru-RU" w:bidi="ru-RU"/>
      <w:u w:val="single"/>
      <w:w w:val="100"/>
      <w:spacing w:val="0"/>
      <w:color w:val="000000"/>
      <w:position w:val="0"/>
    </w:rPr>
  </w:style>
  <w:style w:type="character" w:customStyle="1" w:styleId="CharStyle28">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9">
    <w:name w:val="Основной текст (3)"/>
    <w:basedOn w:val="CharStyle28"/>
    <w:rPr>
      <w:lang w:val="ru-RU" w:eastAsia="ru-RU" w:bidi="ru-RU"/>
      <w:u w:val="single"/>
      <w:w w:val="100"/>
      <w:spacing w:val="0"/>
      <w:color w:val="000000"/>
      <w:position w:val="0"/>
    </w:rPr>
  </w:style>
  <w:style w:type="character" w:customStyle="1" w:styleId="CharStyle30">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31">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28"/>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30"/>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Подпись к таблице"/>
    <w:basedOn w:val="Normal"/>
    <w:link w:val="CharStyle16"/>
    <w:pPr>
      <w:widowControl w:val="0"/>
      <w:shd w:val="clear" w:color="auto" w:fill="FFFFFF"/>
      <w:jc w:val="both"/>
      <w:spacing w:line="322" w:lineRule="exact"/>
      <w:ind w:firstLine="840"/>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jc w:val="both"/>
      <w:spacing w:line="427"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