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/>
        <w:keepLines/>
        <w:shd w:val="clear" w:color="auto" w:fill="auto"/>
        <w:bidi w:val="0"/>
        <w:spacing w:before="0" w:after="0" w:line="420" w:lineRule="exact"/>
        <w:ind w:left="0" w:right="18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ХРОМАТЭК</w:t>
      </w:r>
      <w:bookmarkEnd w:id="0"/>
    </w:p>
    <w:p>
      <w:pPr>
        <w:pStyle w:val="Style5"/>
        <w:widowControl w:val="0"/>
        <w:keepNext/>
        <w:keepLines/>
        <w:shd w:val="clear" w:color="auto" w:fill="auto"/>
        <w:bidi w:val="0"/>
        <w:jc w:val="left"/>
        <w:spacing w:before="0" w:after="182" w:line="340" w:lineRule="exact"/>
        <w:ind w:left="2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ЗСД- </w:t>
      </w:r>
      <w:r>
        <w:rPr>
          <w:rStyle w:val="CharStyle7"/>
          <w:lang w:val="en-US" w:eastAsia="en-US" w:bidi="en-US"/>
        </w:rPr>
        <w:t>J_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ТОРГОВЫЙ </w:t>
      </w:r>
      <w:r>
        <w:rPr>
          <w:rStyle w:val="CharStyle7"/>
        </w:rPr>
        <w:t>дом</w:t>
      </w:r>
      <w:bookmarkEnd w:id="1"/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ООО «Хроматэк ТД»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424000, Республика Марий Эл, г. Йошкар-Ола, ул. Машиностроителей, д. 126, поз. 10 ИНН 1215185314 КПП 121501001 ОГРН1141215009198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Тел.89371186301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407" w:line="17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е - </w:t>
      </w:r>
      <w:r>
        <w:rPr>
          <w:lang w:val="en-US" w:eastAsia="en-US" w:bidi="en-US"/>
          <w:w w:val="100"/>
          <w:color w:val="000000"/>
          <w:position w:val="0"/>
        </w:rPr>
        <w:t xml:space="preserve">m a i </w:t>
      </w:r>
      <w:r>
        <w:rPr>
          <w:lang w:val="ru-RU" w:eastAsia="ru-RU" w:bidi="ru-RU"/>
          <w:w w:val="100"/>
          <w:color w:val="000000"/>
          <w:position w:val="0"/>
        </w:rPr>
        <w:t xml:space="preserve">1: с </w:t>
      </w:r>
      <w:r>
        <w:rPr>
          <w:lang w:val="en-US" w:eastAsia="en-US" w:bidi="en-US"/>
          <w:w w:val="100"/>
          <w:color w:val="000000"/>
          <w:position w:val="0"/>
        </w:rPr>
        <w:t xml:space="preserve">h </w:t>
      </w:r>
      <w:r>
        <w:rPr>
          <w:lang w:val="ru-RU" w:eastAsia="ru-RU" w:bidi="ru-RU"/>
          <w:w w:val="100"/>
          <w:color w:val="000000"/>
          <w:position w:val="0"/>
        </w:rPr>
        <w:t xml:space="preserve">г о </w:t>
      </w:r>
      <w:r>
        <w:rPr>
          <w:lang w:val="en-US" w:eastAsia="en-US" w:bidi="en-US"/>
          <w:w w:val="100"/>
          <w:color w:val="000000"/>
          <w:position w:val="0"/>
        </w:rPr>
        <w:t xml:space="preserve">m a te ctd </w:t>
      </w:r>
      <w:r>
        <w:rPr>
          <w:lang w:val="ru-RU" w:eastAsia="ru-RU" w:bidi="ru-RU"/>
          <w:w w:val="100"/>
          <w:color w:val="000000"/>
          <w:position w:val="0"/>
        </w:rPr>
        <w:t xml:space="preserve">@ </w:t>
      </w:r>
      <w:r>
        <w:rPr>
          <w:lang w:val="en-US" w:eastAsia="en-US" w:bidi="en-US"/>
          <w:w w:val="100"/>
          <w:color w:val="000000"/>
          <w:position w:val="0"/>
        </w:rPr>
        <w:t>m a i I</w:t>
      </w:r>
      <w:r>
        <w:rPr>
          <w:lang w:val="ru-RU" w:eastAsia="ru-RU" w:bidi="ru-RU"/>
          <w:w w:val="100"/>
          <w:color w:val="000000"/>
          <w:position w:val="0"/>
        </w:rPr>
        <w:t>. г и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0" w:line="340" w:lineRule="exact"/>
        <w:ind w:left="220" w:right="0" w:firstLine="0"/>
      </w:pPr>
      <w:bookmarkStart w:id="2" w:name="bookmark2"/>
      <w:r>
        <w:rPr>
          <w:rStyle w:val="CharStyle12"/>
          <w:i/>
          <w:iCs/>
        </w:rPr>
        <w:t>2Ч.ег.ьи</w:t>
      </w:r>
      <w:bookmarkEnd w:id="2"/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Ставропольское УФАС </w:t>
      </w:r>
      <w:r>
        <w:rPr>
          <w:rStyle w:val="CharStyle15"/>
          <w:b w:val="0"/>
          <w:bCs w:val="0"/>
        </w:rPr>
        <w:t>России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Адрес: 355003, г.Ставрополь, ул.Ленина, 384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672"/>
        <w:ind w:left="20" w:right="36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Телефон/факс: (8652) 35-51-19 </w:t>
      </w:r>
      <w:r>
        <w:rPr>
          <w:lang w:val="en-US" w:eastAsia="en-US" w:bidi="en-US"/>
          <w:w w:val="10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"mailto:to26@fas.gov.ru"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position w:val="0"/>
        </w:rPr>
        <w:t>to26@fas.gov.ru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Участник аукциона: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Общество с ограниченной ответственностью «Хроматэк Торговый Дом»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ИНН 1215185314, ОГРН 1141215009198 Юридический адрес: 424000,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80" w:line="250" w:lineRule="exact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Республика Марий Эл, г. Йошкар-Ола, ул. Машиностроителей, д. 126, поз. 10 Телефон 89371186301 </w:t>
      </w:r>
      <w:r>
        <w:fldChar w:fldCharType="begin"/>
      </w:r>
      <w:r>
        <w:rPr>
          <w:color w:val="000000"/>
        </w:rPr>
        <w:instrText> HYPERLINK "mailto:chromatectd@mail.ru"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position w:val="0"/>
        </w:rPr>
        <w:t>chromatectd@mail.ru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Уполномоченный орган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20" w:left="1268" w:right="1426" w:bottom="820" w:header="0" w:footer="3" w:gutter="0"/>
          <w:rtlGutter w:val="0"/>
          <w:cols w:num="2" w:space="720" w:equalWidth="0">
            <w:col w:w="3989" w:space="643"/>
            <w:col w:w="4579"/>
          </w:cols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КОМИТЕТ СТАВРОПОЛЬСКОГО КРАЯ ПО ГОСУДАРСТВЕННЫМ ЗАКУПКАМ 355006, Ставропольский край, Ставрополь г, ПР-КТ К.МАРКСА, ДОМ 63</w:t>
      </w: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332" w:line="180" w:lineRule="exact"/>
        <w:ind w:left="5120" w:right="0" w:firstLine="0"/>
      </w:pPr>
      <w:r>
        <w:fldChar w:fldCharType="begin"/>
      </w:r>
      <w:r>
        <w:rPr>
          <w:rStyle w:val="CharStyle20"/>
        </w:rPr>
        <w:instrText> HYPERLINK "mailto:infof@stav-zakupki.ru" </w:instrText>
      </w:r>
      <w:r>
        <w:fldChar w:fldCharType="separate"/>
      </w:r>
      <w:r>
        <w:rPr>
          <w:rStyle w:val="Hyperlink"/>
        </w:rPr>
        <w:t>infof@stav-zakupki.ru</w:t>
      </w:r>
      <w:r>
        <w:fldChar w:fldCharType="end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564" w:line="200" w:lineRule="exact"/>
        <w:ind w:left="5120" w:right="0" w:firstLine="0"/>
      </w:pPr>
      <w:r>
        <w:rPr>
          <w:lang w:val="ru-RU" w:eastAsia="ru-RU" w:bidi="ru-RU"/>
          <w:w w:val="100"/>
          <w:color w:val="000000"/>
          <w:position w:val="0"/>
        </w:rPr>
        <w:t>786-529-41561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5120" w:right="0" w:firstLine="0"/>
      </w:pPr>
      <w:r>
        <w:rPr>
          <w:lang w:val="ru-RU" w:eastAsia="ru-RU" w:bidi="ru-RU"/>
          <w:w w:val="100"/>
          <w:color w:val="000000"/>
          <w:position w:val="0"/>
        </w:rPr>
        <w:t>Заказчик: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5120" w:right="600" w:firstLine="0"/>
      </w:pPr>
      <w:r>
        <w:rPr>
          <w:rStyle w:val="CharStyle23"/>
        </w:rPr>
        <w:t xml:space="preserve">ГБУЗ </w:t>
      </w:r>
      <w:r>
        <w:rPr>
          <w:lang w:val="ru-RU" w:eastAsia="ru-RU" w:bidi="ru-RU"/>
          <w:w w:val="100"/>
          <w:color w:val="000000"/>
          <w:position w:val="0"/>
        </w:rPr>
        <w:t>Ставропольского края «Краевой клинический паркологический диспансер»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5120" w:right="0" w:firstLine="0"/>
      </w:pPr>
      <w:r>
        <w:rPr>
          <w:lang w:val="ru-RU" w:eastAsia="ru-RU" w:bidi="ru-RU"/>
          <w:w w:val="100"/>
          <w:color w:val="000000"/>
          <w:position w:val="0"/>
        </w:rPr>
        <w:t>ГБУЗ СК «ККНД»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36" w:line="250" w:lineRule="exact"/>
        <w:ind w:left="5120" w:right="0" w:firstLine="0"/>
      </w:pPr>
      <w:r>
        <w:rPr>
          <w:lang w:val="ru-RU" w:eastAsia="ru-RU" w:bidi="ru-RU"/>
          <w:w w:val="100"/>
          <w:color w:val="000000"/>
          <w:position w:val="0"/>
        </w:rPr>
        <w:t>355042, г. Ставрополь, ул. Доваторцев, 54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5120" w:right="0" w:firstLine="0"/>
      </w:pPr>
      <w:r>
        <w:rPr>
          <w:lang w:val="ru-RU" w:eastAsia="ru-RU" w:bidi="ru-RU"/>
          <w:w w:val="100"/>
          <w:color w:val="000000"/>
          <w:position w:val="0"/>
        </w:rPr>
        <w:t>Наименование объекта закупки: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4" w:line="254" w:lineRule="exact"/>
        <w:ind w:left="5120" w:right="600" w:firstLine="0"/>
      </w:pPr>
      <w:r>
        <w:rPr>
          <w:lang w:val="ru-RU" w:eastAsia="ru-RU" w:bidi="ru-RU"/>
          <w:w w:val="100"/>
          <w:color w:val="000000"/>
          <w:position w:val="0"/>
        </w:rPr>
        <w:t>Поставка газового хроматомасс - спектрометра Код по ОКПД2 26.51.53.149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5120" w:right="0" w:firstLine="0"/>
      </w:pPr>
      <w:r>
        <w:rPr>
          <w:lang w:val="ru-RU" w:eastAsia="ru-RU" w:bidi="ru-RU"/>
          <w:w w:val="100"/>
          <w:color w:val="000000"/>
          <w:position w:val="0"/>
        </w:rPr>
        <w:t>Извещение № 0121200004721000073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5120" w:right="0" w:firstLine="0"/>
      </w:pPr>
      <w:r>
        <w:rPr>
          <w:lang w:val="ru-RU" w:eastAsia="ru-RU" w:bidi="ru-RU"/>
          <w:w w:val="100"/>
          <w:color w:val="000000"/>
          <w:position w:val="0"/>
        </w:rPr>
        <w:t>Начальная цена контракта: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80" w:line="250" w:lineRule="exact"/>
        <w:ind w:left="5120" w:right="0" w:firstLine="0"/>
      </w:pPr>
      <w:r>
        <w:rPr>
          <w:rStyle w:val="CharStyle24"/>
        </w:rPr>
        <w:t>1 1 320 000 руб.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74" w:line="20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ЖАЛОБА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center"/>
        <w:spacing w:before="0" w:after="245" w:line="20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на содержание аукционной документации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20"/>
      </w:pPr>
      <w:r>
        <w:rPr>
          <w:lang w:val="ru-RU" w:eastAsia="ru-RU" w:bidi="ru-RU"/>
          <w:w w:val="100"/>
          <w:color w:val="000000"/>
          <w:position w:val="0"/>
        </w:rPr>
        <w:t>12.02.2021 в интересах государственного заказчика ГБУЗ Ставропольского края «Краевой клинический наркологический диспансер» (ГБУЗ С'К "ККНД) в ЕИС было размещено извещение № 0121200004721000073о проведении электронного аукциона на поставку оборудования с НМЦК 11 320 000 руб.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20"/>
      </w:pPr>
      <w:r>
        <w:rPr>
          <w:lang w:val="ru-RU" w:eastAsia="ru-RU" w:bidi="ru-RU"/>
          <w:w w:val="100"/>
          <w:color w:val="000000"/>
          <w:position w:val="0"/>
        </w:rPr>
        <w:t>С извещением опубликована документация, положения которой подобраны таким образом, что им удовлетворяет только одно конкретное оборудование: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- Газовый хроматограф с масс-спекгрометрическим детектором </w:t>
      </w:r>
      <w:r>
        <w:rPr>
          <w:lang w:val="en-US" w:eastAsia="en-US" w:bidi="en-US"/>
          <w:w w:val="100"/>
          <w:color w:val="000000"/>
          <w:position w:val="0"/>
        </w:rPr>
        <w:t xml:space="preserve">GCMS-QP2020 </w:t>
      </w:r>
      <w:r>
        <w:rPr>
          <w:lang w:val="ru-RU" w:eastAsia="ru-RU" w:bidi="ru-RU"/>
          <w:w w:val="100"/>
          <w:color w:val="000000"/>
          <w:position w:val="0"/>
        </w:rPr>
        <w:t xml:space="preserve">фирмы Шимадзу </w:t>
      </w:r>
      <w:r>
        <w:rPr>
          <w:lang w:val="en-US" w:eastAsia="en-US" w:bidi="en-US"/>
          <w:w w:val="100"/>
          <w:color w:val="000000"/>
          <w:position w:val="0"/>
        </w:rPr>
        <w:t xml:space="preserve">(Shimadzu), </w:t>
      </w:r>
      <w:r>
        <w:rPr>
          <w:lang w:val="ru-RU" w:eastAsia="ru-RU" w:bidi="ru-RU"/>
          <w:w w:val="100"/>
          <w:color w:val="000000"/>
          <w:position w:val="0"/>
        </w:rPr>
        <w:t>страна происхождения - США, Япония.</w:t>
      </w:r>
      <w:r>
        <w:br w:type="page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20" w:right="2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Включение в документацию избыточных характеристик, которым удовлетворяет один вид оборудования нарушает требования Федерального закона от 05.05.2014 № 44-ФЗ "О контрактной системе" и ограничивает конкуренцию и </w:t>
      </w:r>
      <w:r>
        <w:rPr>
          <w:rStyle w:val="CharStyle25"/>
        </w:rPr>
        <w:t>создает реальную грозу поддержания высокой цены на</w:t>
      </w:r>
      <w:r>
        <w:rPr>
          <w:lang w:val="ru-RU" w:eastAsia="ru-RU" w:bidi="ru-RU"/>
          <w:w w:val="100"/>
          <w:color w:val="000000"/>
          <w:position w:val="0"/>
        </w:rPr>
        <w:t xml:space="preserve"> </w:t>
      </w:r>
      <w:r>
        <w:rPr>
          <w:rStyle w:val="CharStyle25"/>
        </w:rPr>
        <w:t>торгах</w:t>
      </w:r>
      <w:r>
        <w:rPr>
          <w:lang w:val="ru-RU" w:eastAsia="ru-RU" w:bidi="ru-RU"/>
          <w:w w:val="100"/>
          <w:color w:val="000000"/>
          <w:position w:val="0"/>
        </w:rPr>
        <w:t xml:space="preserve">. Между тем на рынке России представлены газовые хроматографы и хромато-масс- спектрометры (газовые хроматографы с масс-спекгрометрическим детектором) других, в том числе отечественных, производителей Хроматэк, Маэстро, </w:t>
      </w:r>
      <w:r>
        <w:rPr>
          <w:lang w:val="en-US" w:eastAsia="en-US" w:bidi="en-US"/>
          <w:w w:val="100"/>
          <w:color w:val="000000"/>
          <w:position w:val="0"/>
        </w:rPr>
        <w:t xml:space="preserve">Thermo Fisher Scientific </w:t>
      </w:r>
      <w:r>
        <w:rPr>
          <w:lang w:val="ru-RU" w:eastAsia="ru-RU" w:bidi="ru-RU"/>
          <w:w w:val="100"/>
          <w:color w:val="000000"/>
          <w:position w:val="0"/>
        </w:rPr>
        <w:t xml:space="preserve">(США), </w:t>
      </w:r>
      <w:r>
        <w:rPr>
          <w:lang w:val="en-US" w:eastAsia="en-US" w:bidi="en-US"/>
          <w:w w:val="100"/>
          <w:color w:val="000000"/>
          <w:position w:val="0"/>
        </w:rPr>
        <w:t xml:space="preserve">Agilent Technologies </w:t>
      </w:r>
      <w:r>
        <w:rPr>
          <w:lang w:val="ru-RU" w:eastAsia="ru-RU" w:bidi="ru-RU"/>
          <w:w w:val="100"/>
          <w:color w:val="000000"/>
          <w:position w:val="0"/>
        </w:rPr>
        <w:t xml:space="preserve">(США), </w:t>
      </w:r>
      <w:r>
        <w:rPr>
          <w:lang w:val="en-US" w:eastAsia="en-US" w:bidi="en-US"/>
          <w:w w:val="100"/>
          <w:color w:val="000000"/>
          <w:position w:val="0"/>
        </w:rPr>
        <w:t xml:space="preserve">Perkin Elmer </w:t>
      </w:r>
      <w:r>
        <w:rPr>
          <w:lang w:val="ru-RU" w:eastAsia="ru-RU" w:bidi="ru-RU"/>
          <w:w w:val="100"/>
          <w:color w:val="000000"/>
          <w:position w:val="0"/>
        </w:rPr>
        <w:t xml:space="preserve">(США), которые применяются для решения тех же самых аналитических задач, а именно </w:t>
      </w:r>
      <w:r>
        <w:rPr>
          <w:rStyle w:val="CharStyle26"/>
        </w:rPr>
        <w:t xml:space="preserve">проведение химико-токсикологических исследований для идентификации отравляющих и иных веществ в биологических объектах, </w:t>
      </w:r>
      <w:r>
        <w:rPr>
          <w:lang w:val="ru-RU" w:eastAsia="ru-RU" w:bidi="ru-RU"/>
          <w:w w:val="100"/>
          <w:color w:val="000000"/>
          <w:position w:val="0"/>
        </w:rPr>
        <w:t xml:space="preserve">что и аналогичные хроматографы </w:t>
      </w:r>
      <w:r>
        <w:rPr>
          <w:lang w:val="en-US" w:eastAsia="en-US" w:bidi="en-US"/>
          <w:w w:val="100"/>
          <w:color w:val="000000"/>
          <w:position w:val="0"/>
        </w:rPr>
        <w:t>Shimadzu.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238" w:line="312" w:lineRule="exact"/>
        <w:ind w:left="120" w:right="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Следующие характеристики указывает на конкретный вид оборудования </w:t>
      </w:r>
      <w:r>
        <w:rPr>
          <w:lang w:val="en-US" w:eastAsia="en-US" w:bidi="en-US"/>
          <w:w w:val="100"/>
          <w:color w:val="000000"/>
          <w:position w:val="0"/>
        </w:rPr>
        <w:t>Shimadzu:</w:t>
      </w:r>
    </w:p>
    <w:tbl>
      <w:tblPr>
        <w:tblOverlap w:val="never"/>
        <w:tblLayout w:type="fixed"/>
        <w:jc w:val="center"/>
      </w:tblPr>
      <w:tblGrid>
        <w:gridCol w:w="586"/>
        <w:gridCol w:w="7862"/>
        <w:gridCol w:w="1786"/>
      </w:tblGrid>
      <w:tr>
        <w:trPr>
          <w:trHeight w:val="40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1"/>
              <w:framePr w:w="102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260" w:right="0" w:firstLine="0"/>
            </w:pPr>
            <w:r>
              <w:rPr>
                <w:rStyle w:val="CharStyle27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1"/>
              <w:framePr w:w="102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20" w:right="0" w:firstLine="0"/>
            </w:pPr>
            <w:r>
              <w:rPr>
                <w:rStyle w:val="CharStyle28"/>
              </w:rPr>
              <w:t>Газовый хроматомасс-спектрометр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1"/>
              <w:framePr w:w="102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28"/>
              </w:rPr>
              <w:t>1 штука</w:t>
            </w:r>
          </w:p>
        </w:tc>
      </w:tr>
      <w:tr>
        <w:trPr>
          <w:trHeight w:val="95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23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1"/>
              <w:framePr w:w="102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20" w:right="0" w:firstLine="0"/>
            </w:pPr>
            <w:r>
              <w:rPr>
                <w:rStyle w:val="CharStyle27"/>
              </w:rPr>
              <w:t>Сертификат (регистрационное удостоверение) о включении в реестр изделий медицинского назначения (медицинской техники), выданный Федеральной службой по надзору в сфере здравоохранения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1"/>
              <w:framePr w:w="102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27"/>
              </w:rPr>
              <w:t>Наличие</w:t>
            </w:r>
          </w:p>
        </w:tc>
      </w:tr>
      <w:tr>
        <w:trPr>
          <w:trHeight w:val="178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23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1"/>
              <w:framePr w:w="102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20" w:right="0" w:firstLine="0"/>
            </w:pPr>
            <w:r>
              <w:rPr>
                <w:rStyle w:val="CharStyle27"/>
              </w:rPr>
              <w:t xml:space="preserve">Хроматомасс-спектрометр должен быть протестирован на заводе изготовителе с трехквадрупольным масс-спектрометрическим детектором с чувствительностью не менее 5000:1 (при вводе 100 фг окгафторнафталина в режиме </w:t>
            </w:r>
            <w:r>
              <w:rPr>
                <w:rStyle w:val="CharStyle27"/>
                <w:lang w:val="en-US" w:eastAsia="en-US" w:bidi="en-US"/>
              </w:rPr>
              <w:t xml:space="preserve">MRM. m/z </w:t>
            </w:r>
            <w:r>
              <w:rPr>
                <w:rStyle w:val="CharStyle27"/>
              </w:rPr>
              <w:t>272 —&gt; 222). Тестирование должно подтверждаться протоколом испытаний и хроматограммами при поставке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1"/>
              <w:framePr w:w="102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27"/>
              </w:rPr>
              <w:t>Наличие</w:t>
            </w:r>
          </w:p>
        </w:tc>
      </w:tr>
      <w:tr>
        <w:trPr>
          <w:trHeight w:val="205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23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1"/>
              <w:framePr w:w="102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20" w:right="0" w:firstLine="0"/>
            </w:pPr>
            <w:r>
              <w:rPr>
                <w:rStyle w:val="CharStyle27"/>
              </w:rPr>
              <w:t xml:space="preserve">В лаборатории имеется база данных, архив рабочих методов и хроматограмм, наработанные в программном обеспечении </w:t>
            </w:r>
            <w:r>
              <w:rPr>
                <w:rStyle w:val="CharStyle27"/>
                <w:lang w:val="en-US" w:eastAsia="en-US" w:bidi="en-US"/>
              </w:rPr>
              <w:t xml:space="preserve">«GCMSsolution» </w:t>
            </w:r>
            <w:r>
              <w:rPr>
                <w:rStyle w:val="CharStyle27"/>
              </w:rPr>
              <w:t xml:space="preserve">с использованием ранее приобретенного хроматографического комплекса на базе хроматомасс-спекгрометра </w:t>
            </w:r>
            <w:r>
              <w:rPr>
                <w:rStyle w:val="CharStyle27"/>
                <w:lang w:val="en-US" w:eastAsia="en-US" w:bidi="en-US"/>
              </w:rPr>
              <w:t xml:space="preserve">«GCMS-QP2020». </w:t>
            </w:r>
            <w:r>
              <w:rPr>
                <w:rStyle w:val="CharStyle27"/>
              </w:rPr>
              <w:t>Приобретаемое оборудование должно работать с тем же самым программным обеспечением с возможностью переноса режимов и методов из ранее полученных хроматограмм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1"/>
              <w:framePr w:w="102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27"/>
              </w:rPr>
              <w:t>Наличие</w:t>
            </w:r>
          </w:p>
        </w:tc>
      </w:tr>
      <w:tr>
        <w:trPr>
          <w:trHeight w:val="95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23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1"/>
              <w:framePr w:w="102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20" w:right="0" w:firstLine="0"/>
            </w:pPr>
            <w:r>
              <w:rPr>
                <w:rStyle w:val="CharStyle27"/>
              </w:rPr>
              <w:t>Встроенные жидкокристаллический дисплей и клавиатура (или встроенный сенсорный экран) для установки и отображения параметров прибора и текущей хроматограммы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1"/>
              <w:framePr w:w="102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27"/>
              </w:rPr>
              <w:t>Наличие</w:t>
            </w:r>
          </w:p>
        </w:tc>
      </w:tr>
      <w:tr>
        <w:trPr>
          <w:trHeight w:val="96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23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1"/>
              <w:framePr w:w="102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20" w:right="0" w:firstLine="0"/>
            </w:pPr>
            <w:r>
              <w:rPr>
                <w:rStyle w:val="CharStyle27"/>
              </w:rPr>
              <w:t>Встроенные жидкокристаллический дисплей и клавиатура (или встроенный сенсорный экран) для установки и отображения параметров прибора и текущей хроматограммы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1"/>
              <w:framePr w:w="102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27"/>
              </w:rPr>
              <w:t>Наличие</w:t>
            </w:r>
          </w:p>
        </w:tc>
      </w:tr>
      <w:tr>
        <w:trPr>
          <w:trHeight w:val="701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023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21"/>
              <w:framePr w:w="102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20" w:right="0" w:firstLine="0"/>
            </w:pPr>
            <w:r>
              <w:rPr>
                <w:rStyle w:val="CharStyle27"/>
              </w:rPr>
              <w:t>Размер экрана встроенного жидкокристаллического дисплея (или встроенного сенсорного экрана) по диагонали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21"/>
              <w:framePr w:w="1023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8" w:lineRule="exact"/>
              <w:ind w:left="0" w:right="0" w:firstLine="0"/>
            </w:pPr>
            <w:r>
              <w:rPr>
                <w:rStyle w:val="CharStyle27"/>
              </w:rPr>
              <w:t>Не менее 6 дюймов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229" w:after="0" w:line="317" w:lineRule="exact"/>
        <w:ind w:left="120" w:right="2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ГХ-МС </w:t>
      </w:r>
      <w:r>
        <w:rPr>
          <w:lang w:val="en-US" w:eastAsia="en-US" w:bidi="en-US"/>
          <w:w w:val="100"/>
          <w:color w:val="000000"/>
          <w:position w:val="0"/>
        </w:rPr>
        <w:t xml:space="preserve">GCMS-QP2020 </w:t>
      </w:r>
      <w:r>
        <w:rPr>
          <w:lang w:val="ru-RU" w:eastAsia="ru-RU" w:bidi="ru-RU"/>
          <w:w w:val="100"/>
          <w:color w:val="000000"/>
          <w:position w:val="0"/>
        </w:rPr>
        <w:t xml:space="preserve">фирмы </w:t>
      </w:r>
      <w:r>
        <w:rPr>
          <w:lang w:val="en-US" w:eastAsia="en-US" w:bidi="en-US"/>
          <w:w w:val="100"/>
          <w:color w:val="000000"/>
          <w:position w:val="0"/>
        </w:rPr>
        <w:t xml:space="preserve">Shimadzu </w:t>
      </w:r>
      <w:r>
        <w:rPr>
          <w:lang w:val="ru-RU" w:eastAsia="ru-RU" w:bidi="ru-RU"/>
          <w:w w:val="100"/>
          <w:color w:val="000000"/>
          <w:position w:val="0"/>
        </w:rPr>
        <w:t xml:space="preserve">зарегистрировано в РФ как </w:t>
      </w:r>
      <w:r>
        <w:rPr>
          <w:rStyle w:val="CharStyle25"/>
        </w:rPr>
        <w:t>медицинское изделие</w:t>
      </w:r>
      <w:r>
        <w:rPr>
          <w:lang w:val="ru-RU" w:eastAsia="ru-RU" w:bidi="ru-RU"/>
          <w:w w:val="100"/>
          <w:color w:val="000000"/>
          <w:position w:val="0"/>
        </w:rPr>
        <w:t xml:space="preserve"> и имеет Регистрационное удостоверение Росздравнадзора </w:t>
      </w:r>
      <w:r>
        <w:rPr>
          <w:rStyle w:val="CharStyle29"/>
        </w:rPr>
        <w:t>Ху</w:t>
      </w:r>
      <w:r>
        <w:rPr>
          <w:lang w:val="ru-RU" w:eastAsia="ru-RU" w:bidi="ru-RU"/>
          <w:w w:val="100"/>
          <w:color w:val="000000"/>
          <w:position w:val="0"/>
        </w:rPr>
        <w:t xml:space="preserve"> ФСЗ 2010/08266. В этом Регистрационном удостоверении помимо ГХ-МС </w:t>
      </w:r>
      <w:r>
        <w:rPr>
          <w:lang w:val="en-US" w:eastAsia="en-US" w:bidi="en-US"/>
          <w:w w:val="100"/>
          <w:color w:val="000000"/>
          <w:position w:val="0"/>
        </w:rPr>
        <w:t xml:space="preserve">GCMS-QP2020 </w:t>
      </w:r>
      <w:r>
        <w:rPr>
          <w:lang w:val="ru-RU" w:eastAsia="ru-RU" w:bidi="ru-RU"/>
          <w:w w:val="100"/>
          <w:color w:val="000000"/>
          <w:position w:val="0"/>
        </w:rPr>
        <w:t xml:space="preserve">в качестве основных блоков прописаны также модели </w:t>
      </w:r>
      <w:r>
        <w:rPr>
          <w:lang w:val="en-US" w:eastAsia="en-US" w:bidi="en-US"/>
          <w:w w:val="100"/>
          <w:color w:val="000000"/>
          <w:position w:val="0"/>
        </w:rPr>
        <w:t xml:space="preserve">GCMS-TQ8040 </w:t>
      </w:r>
      <w:r>
        <w:rPr>
          <w:lang w:val="ru-RU" w:eastAsia="ru-RU" w:bidi="ru-RU"/>
          <w:w w:val="100"/>
          <w:color w:val="000000"/>
          <w:position w:val="0"/>
        </w:rPr>
        <w:t xml:space="preserve">и </w:t>
      </w:r>
      <w:r>
        <w:rPr>
          <w:lang w:val="en-US" w:eastAsia="en-US" w:bidi="en-US"/>
          <w:w w:val="100"/>
          <w:color w:val="000000"/>
          <w:position w:val="0"/>
        </w:rPr>
        <w:t xml:space="preserve">GCMS-TQ8050, </w:t>
      </w:r>
      <w:r>
        <w:rPr>
          <w:lang w:val="ru-RU" w:eastAsia="ru-RU" w:bidi="ru-RU"/>
          <w:w w:val="100"/>
          <w:color w:val="000000"/>
          <w:position w:val="0"/>
        </w:rPr>
        <w:t xml:space="preserve">которые являются </w:t>
      </w:r>
      <w:r>
        <w:rPr>
          <w:rStyle w:val="CharStyle25"/>
        </w:rPr>
        <w:t>трехквадрупольными.</w:t>
      </w:r>
      <w:r>
        <w:rPr>
          <w:lang w:val="ru-RU" w:eastAsia="ru-RU" w:bidi="ru-RU"/>
          <w:w w:val="100"/>
          <w:color w:val="000000"/>
          <w:position w:val="0"/>
        </w:rPr>
        <w:t xml:space="preserve"> Отмечаем, что </w:t>
      </w:r>
      <w:r>
        <w:rPr>
          <w:lang w:val="en-US" w:eastAsia="en-US" w:bidi="en-US"/>
          <w:w w:val="100"/>
          <w:color w:val="000000"/>
          <w:position w:val="0"/>
        </w:rPr>
        <w:t xml:space="preserve">GCMS-QP2020, GCMS-TQ8040 </w:t>
      </w:r>
      <w:r>
        <w:rPr>
          <w:lang w:val="ru-RU" w:eastAsia="ru-RU" w:bidi="ru-RU"/>
          <w:w w:val="100"/>
          <w:color w:val="000000"/>
          <w:position w:val="0"/>
        </w:rPr>
        <w:t xml:space="preserve">и </w:t>
      </w:r>
      <w:r>
        <w:rPr>
          <w:lang w:val="en-US" w:eastAsia="en-US" w:bidi="en-US"/>
          <w:w w:val="100"/>
          <w:color w:val="000000"/>
          <w:position w:val="0"/>
        </w:rPr>
        <w:t xml:space="preserve">GCMS-TQ8050 </w:t>
      </w:r>
      <w:r>
        <w:rPr>
          <w:lang w:val="ru-RU" w:eastAsia="ru-RU" w:bidi="ru-RU"/>
          <w:w w:val="100"/>
          <w:color w:val="000000"/>
          <w:position w:val="0"/>
        </w:rPr>
        <w:t xml:space="preserve">эксплуатируются с одной моделью хроматографа </w:t>
      </w:r>
      <w:r>
        <w:rPr>
          <w:lang w:val="en-US" w:eastAsia="en-US" w:bidi="en-US"/>
          <w:w w:val="100"/>
          <w:color w:val="000000"/>
          <w:position w:val="0"/>
        </w:rPr>
        <w:t xml:space="preserve">GC-2010 Plus </w:t>
      </w:r>
      <w:r>
        <w:rPr>
          <w:lang w:val="ru-RU" w:eastAsia="ru-RU" w:bidi="ru-RU"/>
          <w:w w:val="100"/>
          <w:color w:val="000000"/>
          <w:position w:val="0"/>
        </w:rPr>
        <w:t xml:space="preserve">(имеет кнопочную клавиатуру) или </w:t>
      </w:r>
      <w:r>
        <w:rPr>
          <w:lang w:val="en-US" w:eastAsia="en-US" w:bidi="en-US"/>
          <w:w w:val="100"/>
          <w:color w:val="000000"/>
          <w:position w:val="0"/>
        </w:rPr>
        <w:t xml:space="preserve">GC-2030 </w:t>
      </w:r>
      <w:r>
        <w:rPr>
          <w:lang w:val="ru-RU" w:eastAsia="ru-RU" w:bidi="ru-RU"/>
          <w:w w:val="100"/>
          <w:color w:val="000000"/>
          <w:position w:val="0"/>
        </w:rPr>
        <w:t xml:space="preserve">(имеет сенсорный дисплей). Все указанные устройства управляются программным обеспечением </w:t>
      </w:r>
      <w:r>
        <w:rPr>
          <w:lang w:val="en-US" w:eastAsia="en-US" w:bidi="en-US"/>
          <w:w w:val="100"/>
          <w:color w:val="000000"/>
          <w:position w:val="0"/>
        </w:rPr>
        <w:t>«GCMSsolution».</w:t>
      </w:r>
    </w:p>
    <w:p>
      <w:pPr>
        <w:pStyle w:val="Style30"/>
        <w:framePr w:w="10330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Следует учесть, что на рынке России представлены всего 4 (четыре) ГХ-МС системы, которые имеют регистрацию в качестве медицинского изделия, но 3 из них так или иначе не подходят под условия ТЗ:</w:t>
      </w:r>
    </w:p>
    <w:p>
      <w:pPr>
        <w:pStyle w:val="Style30"/>
        <w:framePr w:w="10330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1) Хроматэк (Россия) ГХ-МС «Хроматэк- Регистрационное НЕ управляется и не</w:t>
      </w:r>
    </w:p>
    <w:tbl>
      <w:tblPr>
        <w:tblOverlap w:val="never"/>
        <w:tblLayout w:type="fixed"/>
        <w:jc w:val="center"/>
      </w:tblPr>
      <w:tblGrid>
        <w:gridCol w:w="2621"/>
        <w:gridCol w:w="2126"/>
        <w:gridCol w:w="2386"/>
        <w:gridCol w:w="3197"/>
      </w:tblGrid>
      <w:tr>
        <w:trPr>
          <w:trHeight w:val="1680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80" w:right="0" w:firstLine="0"/>
            </w:pPr>
            <w:r>
              <w:rPr>
                <w:rStyle w:val="CharStyle27"/>
                <w:lang w:val="en-US" w:eastAsia="en-US" w:bidi="en-US"/>
              </w:rPr>
              <w:t xml:space="preserve">L </w:t>
            </w:r>
            <w:r>
              <w:rPr>
                <w:rStyle w:val="CharStyle32"/>
              </w:rPr>
              <w:t>-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60" w:right="0" w:firstLine="0"/>
            </w:pPr>
            <w:r>
              <w:rPr>
                <w:rStyle w:val="CharStyle27"/>
              </w:rPr>
              <w:t>Кристалл 5000»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80" w:right="0" w:firstLine="0"/>
            </w:pPr>
            <w:r>
              <w:rPr>
                <w:rStyle w:val="CharStyle27"/>
              </w:rPr>
              <w:t>удостоверение Росздравнадзора № ФСР 2009/04091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60" w:right="0" w:firstLine="0"/>
            </w:pPr>
            <w:r>
              <w:rPr>
                <w:rStyle w:val="CharStyle27"/>
              </w:rPr>
              <w:t xml:space="preserve">работает на ПО </w:t>
            </w:r>
            <w:r>
              <w:rPr>
                <w:rStyle w:val="CharStyle27"/>
                <w:lang w:val="en-US" w:eastAsia="en-US" w:bidi="en-US"/>
              </w:rPr>
              <w:t>GCMSsolution,</w:t>
            </w:r>
          </w:p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60" w:right="0" w:firstLine="0"/>
            </w:pPr>
            <w:r>
              <w:rPr>
                <w:rStyle w:val="CharStyle27"/>
              </w:rPr>
              <w:t>НЕ тестируется с трехквадруполным масс- спектрометрическим детектором</w:t>
            </w:r>
          </w:p>
        </w:tc>
      </w:tr>
      <w:tr>
        <w:trPr>
          <w:trHeight w:val="2870" w:hRule="exact"/>
        </w:trPr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80" w:right="0" w:firstLine="0"/>
            </w:pPr>
            <w:r>
              <w:rPr>
                <w:rStyle w:val="CharStyle27"/>
              </w:rPr>
              <w:t>2) Маэстро (Россия)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60" w:right="0" w:firstLine="0"/>
            </w:pPr>
            <w:r>
              <w:rPr>
                <w:rStyle w:val="CharStyle27"/>
              </w:rPr>
              <w:t>МАЭСТРО ГХ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80" w:right="0" w:firstLine="0"/>
            </w:pPr>
            <w:r>
              <w:rPr>
                <w:rStyle w:val="CharStyle27"/>
              </w:rPr>
              <w:t>Регистрационное удостоверение Росздравнадзора № РЗН 2020/11167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60" w:right="0" w:firstLine="0"/>
            </w:pPr>
            <w:r>
              <w:rPr>
                <w:rStyle w:val="CharStyle27"/>
              </w:rPr>
              <w:t>отсутствует жидкокристаллический дисплей на 6 дюймов.</w:t>
            </w:r>
          </w:p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60" w:right="0" w:firstLine="0"/>
            </w:pPr>
            <w:r>
              <w:rPr>
                <w:rStyle w:val="CharStyle27"/>
              </w:rPr>
              <w:t xml:space="preserve">НЕ управляется и не работает на ПО </w:t>
            </w:r>
            <w:r>
              <w:rPr>
                <w:rStyle w:val="CharStyle27"/>
                <w:lang w:val="en-US" w:eastAsia="en-US" w:bidi="en-US"/>
              </w:rPr>
              <w:t>GCMSsolution,</w:t>
            </w:r>
          </w:p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60" w:right="0" w:firstLine="0"/>
            </w:pPr>
            <w:r>
              <w:rPr>
                <w:rStyle w:val="CharStyle27"/>
              </w:rPr>
              <w:t>НЕ тестируется с трехквадруполным масс- спектрометрическим детектором</w:t>
            </w:r>
          </w:p>
        </w:tc>
      </w:tr>
      <w:tr>
        <w:trPr>
          <w:trHeight w:val="1214" w:hRule="exact"/>
        </w:trPr>
        <w:tc>
          <w:tcPr>
            <w:shd w:val="clear" w:color="auto" w:fill="FFFFFF"/>
            <w:gridSpan w:val="2"/>
            <w:tcBorders/>
            <w:vAlign w:val="top"/>
          </w:tcPr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12" w:lineRule="exact"/>
              <w:ind w:left="120" w:right="0" w:firstLine="0"/>
            </w:pPr>
            <w:r>
              <w:rPr>
                <w:rStyle w:val="CharStyle27"/>
              </w:rPr>
              <w:t xml:space="preserve">3) </w:t>
            </w:r>
            <w:r>
              <w:rPr>
                <w:rStyle w:val="CharStyle27"/>
                <w:lang w:val="en-US" w:eastAsia="en-US" w:bidi="en-US"/>
              </w:rPr>
              <w:t xml:space="preserve">Shimadzu </w:t>
            </w:r>
            <w:r>
              <w:rPr>
                <w:rStyle w:val="CharStyle27"/>
              </w:rPr>
              <w:t xml:space="preserve">(США. </w:t>
            </w:r>
            <w:r>
              <w:rPr>
                <w:rStyle w:val="CharStyle27"/>
                <w:lang w:val="en-US" w:eastAsia="en-US" w:bidi="en-US"/>
              </w:rPr>
              <w:t xml:space="preserve">GCMS-QP2020 </w:t>
            </w:r>
            <w:r>
              <w:rPr>
                <w:rStyle w:val="CharStyle27"/>
              </w:rPr>
              <w:t>Япония)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8" w:lineRule="exact"/>
              <w:ind w:left="80" w:right="0" w:firstLine="0"/>
            </w:pPr>
            <w:r>
              <w:rPr>
                <w:rStyle w:val="CharStyle27"/>
              </w:rPr>
              <w:t>Регистрационное удостоверение Росздравнадзора №ФСЗ 2010/08266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8" w:lineRule="exact"/>
              <w:ind w:left="60" w:right="0" w:firstLine="0"/>
            </w:pPr>
            <w:r>
              <w:rPr>
                <w:rStyle w:val="CharStyle27"/>
              </w:rPr>
              <w:t>ТЗ аукциона соответствует в полном объеме</w:t>
            </w:r>
          </w:p>
        </w:tc>
      </w:tr>
      <w:tr>
        <w:trPr>
          <w:trHeight w:val="3168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20" w:right="0" w:firstLine="0"/>
            </w:pPr>
            <w:r>
              <w:rPr>
                <w:rStyle w:val="CharStyle27"/>
              </w:rPr>
              <w:t xml:space="preserve">4) </w:t>
            </w:r>
            <w:r>
              <w:rPr>
                <w:rStyle w:val="CharStyle27"/>
                <w:lang w:val="en-US" w:eastAsia="en-US" w:bidi="en-US"/>
              </w:rPr>
              <w:t xml:space="preserve">Agilent </w:t>
            </w:r>
            <w:r>
              <w:rPr>
                <w:rStyle w:val="CharStyle27"/>
              </w:rPr>
              <w:t>(США)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60" w:right="0" w:firstLine="0"/>
            </w:pPr>
            <w:r>
              <w:rPr>
                <w:rStyle w:val="CharStyle27"/>
                <w:lang w:val="en-US" w:eastAsia="en-US" w:bidi="en-US"/>
              </w:rPr>
              <w:t xml:space="preserve">Agilent </w:t>
            </w:r>
            <w:r>
              <w:rPr>
                <w:rStyle w:val="CharStyle27"/>
              </w:rPr>
              <w:t>7890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80" w:right="0" w:firstLine="0"/>
            </w:pPr>
            <w:r>
              <w:rPr>
                <w:rStyle w:val="CharStyle27"/>
              </w:rPr>
              <w:t>Регистрационное удостоверение Росздравнадзора № ФСЗ 2008/03277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60" w:right="0" w:firstLine="0"/>
            </w:pPr>
            <w:r>
              <w:rPr>
                <w:rStyle w:val="CharStyle27"/>
              </w:rPr>
              <w:t>Не имеет металлического квадруполя с предфильгром (работает с</w:t>
            </w:r>
          </w:p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60" w:right="0" w:firstLine="0"/>
            </w:pPr>
            <w:r>
              <w:rPr>
                <w:rStyle w:val="CharStyle28"/>
              </w:rPr>
              <w:t>кварцевым квадруполем с нагревом),</w:t>
            </w:r>
          </w:p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60" w:right="0" w:firstLine="0"/>
            </w:pPr>
            <w:r>
              <w:rPr>
                <w:rStyle w:val="CharStyle27"/>
              </w:rPr>
              <w:t xml:space="preserve">НЕ управляется и не работает на ПО </w:t>
            </w:r>
            <w:r>
              <w:rPr>
                <w:rStyle w:val="CharStyle27"/>
                <w:lang w:val="en-US" w:eastAsia="en-US" w:bidi="en-US"/>
              </w:rPr>
              <w:t>GCMSsolution.</w:t>
            </w:r>
          </w:p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60" w:right="0" w:firstLine="0"/>
            </w:pPr>
            <w:r>
              <w:rPr>
                <w:rStyle w:val="CharStyle27"/>
              </w:rPr>
              <w:t>отсутствует</w:t>
            </w:r>
          </w:p>
          <w:p>
            <w:pPr>
              <w:pStyle w:val="Style21"/>
              <w:framePr w:w="1033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60" w:right="0" w:firstLine="0"/>
            </w:pPr>
            <w:r>
              <w:rPr>
                <w:rStyle w:val="CharStyle27"/>
              </w:rPr>
              <w:t>жидкокристаллический дисплей на 6 дюймов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313" w:after="63" w:line="200" w:lineRule="exact"/>
        <w:ind w:left="140" w:right="0" w:firstLine="720"/>
      </w:pPr>
      <w:r>
        <w:rPr>
          <w:lang w:val="ru-RU" w:eastAsia="ru-RU" w:bidi="ru-RU"/>
          <w:w w:val="100"/>
          <w:color w:val="000000"/>
          <w:position w:val="0"/>
        </w:rPr>
        <w:t>Техническое задание содержит существенные ОПЕЧАТКИ: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56" w:line="312" w:lineRule="exact"/>
        <w:ind w:left="140" w:right="120" w:firstLine="720"/>
      </w:pPr>
      <w:r>
        <w:rPr>
          <w:lang w:val="ru-RU" w:eastAsia="ru-RU" w:bidi="ru-RU"/>
          <w:w w:val="100"/>
          <w:color w:val="000000"/>
          <w:position w:val="0"/>
        </w:rPr>
        <w:t>«Хроматомасс-спектрометр должен быть протестирован на заводе изготовителе с трехквадрупольным масс-спектрометрическим детектором»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154" w:line="317" w:lineRule="exact"/>
        <w:ind w:left="140" w:right="2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Хроматомасс-спектрометр состоит из хроматографа и масс-спектрометрического детектора, которые соединяются переходной линией, в свою очередь трехквадрупольный масс- спектрометрический детектор также присоединяется к хроматографу, одновременно присоединить одноквадрупольный и трехквадрупольный масс-спектрометрические детекторы к одному хроматографу </w:t>
      </w:r>
      <w:r>
        <w:rPr>
          <w:rStyle w:val="CharStyle25"/>
        </w:rPr>
        <w:t>невозможно</w:t>
      </w:r>
      <w:r>
        <w:rPr>
          <w:lang w:val="ru-RU" w:eastAsia="ru-RU" w:bidi="ru-RU"/>
          <w:w w:val="100"/>
          <w:color w:val="000000"/>
          <w:position w:val="0"/>
        </w:rPr>
        <w:t xml:space="preserve">, следовательно, при существующей формулировке условие ТЗ является </w:t>
      </w:r>
      <w:r>
        <w:rPr>
          <w:rStyle w:val="CharStyle25"/>
        </w:rPr>
        <w:t>невыполнимым.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63" w:line="20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Система вакуумирования: форвакуумный насос, </w:t>
      </w:r>
      <w:r>
        <w:rPr>
          <w:rStyle w:val="CharStyle25"/>
        </w:rPr>
        <w:t>двойной</w:t>
      </w:r>
      <w:r>
        <w:rPr>
          <w:lang w:val="ru-RU" w:eastAsia="ru-RU" w:bidi="ru-RU"/>
          <w:w w:val="100"/>
          <w:color w:val="000000"/>
          <w:position w:val="0"/>
        </w:rPr>
        <w:t xml:space="preserve"> турбомолекулярный насос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40" w:right="2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Двойные турбомолекулярные насосы не существуют, а также ни существует ни одного газового хроматомасс-спектрометра, в котором использовались бы одновременно форвакуумный насос и </w:t>
      </w:r>
      <w:r>
        <w:rPr>
          <w:rStyle w:val="CharStyle25"/>
        </w:rPr>
        <w:t>двойной</w:t>
      </w:r>
      <w:r>
        <w:rPr>
          <w:lang w:val="ru-RU" w:eastAsia="ru-RU" w:bidi="ru-RU"/>
          <w:w w:val="100"/>
          <w:color w:val="000000"/>
          <w:position w:val="0"/>
        </w:rPr>
        <w:t xml:space="preserve"> турбомолекулярный насос. Условие ТЗ при существующей формулировке является </w:t>
      </w:r>
      <w:r>
        <w:rPr>
          <w:rStyle w:val="CharStyle25"/>
        </w:rPr>
        <w:t>невыполнимым.</w:t>
      </w:r>
      <w:r>
        <w:rPr>
          <w:lang w:val="ru-RU" w:eastAsia="ru-RU" w:bidi="ru-RU"/>
          <w:w w:val="100"/>
          <w:color w:val="000000"/>
          <w:position w:val="0"/>
        </w:rPr>
        <w:t xml:space="preserve"> В ГХ-МС </w:t>
      </w:r>
      <w:r>
        <w:rPr>
          <w:lang w:val="en-US" w:eastAsia="en-US" w:bidi="en-US"/>
          <w:w w:val="100"/>
          <w:color w:val="000000"/>
          <w:position w:val="0"/>
        </w:rPr>
        <w:t xml:space="preserve">GCMS-QP2020 </w:t>
      </w:r>
      <w:r>
        <w:rPr>
          <w:lang w:val="ru-RU" w:eastAsia="ru-RU" w:bidi="ru-RU"/>
          <w:w w:val="100"/>
          <w:color w:val="000000"/>
          <w:position w:val="0"/>
        </w:rPr>
        <w:t xml:space="preserve">фирмы </w:t>
      </w:r>
      <w:r>
        <w:rPr>
          <w:lang w:val="en-US" w:eastAsia="en-US" w:bidi="en-US"/>
          <w:w w:val="100"/>
          <w:color w:val="000000"/>
          <w:position w:val="0"/>
        </w:rPr>
        <w:t xml:space="preserve">Shimadzu </w:t>
      </w:r>
      <w:r>
        <w:rPr>
          <w:lang w:val="ru-RU" w:eastAsia="ru-RU" w:bidi="ru-RU"/>
          <w:w w:val="100"/>
          <w:color w:val="000000"/>
          <w:position w:val="0"/>
        </w:rPr>
        <w:t xml:space="preserve">применяется </w:t>
      </w:r>
      <w:r>
        <w:rPr>
          <w:rStyle w:val="CharStyle25"/>
        </w:rPr>
        <w:t>двухканальный</w:t>
      </w:r>
      <w:r>
        <w:rPr>
          <w:lang w:val="ru-RU" w:eastAsia="ru-RU" w:bidi="ru-RU"/>
          <w:w w:val="100"/>
          <w:color w:val="000000"/>
          <w:position w:val="0"/>
        </w:rPr>
        <w:t xml:space="preserve"> турбомолекулярный насос.</w:t>
      </w:r>
    </w:p>
    <w:p>
      <w:pPr>
        <w:pStyle w:val="Style30"/>
        <w:framePr w:w="10219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Помимо указанного, Техническое задание содержит ИЗБЫТОЧНЫЕ формулировки, которые не несут никакого смысла, кроме как создать преимущества предложению определенной модели оборудования.</w:t>
      </w:r>
    </w:p>
    <w:tbl>
      <w:tblPr>
        <w:tblOverlap w:val="never"/>
        <w:tblLayout w:type="fixed"/>
        <w:jc w:val="center"/>
      </w:tblPr>
      <w:tblGrid>
        <w:gridCol w:w="3922"/>
        <w:gridCol w:w="1987"/>
        <w:gridCol w:w="4310"/>
      </w:tblGrid>
      <w:tr>
        <w:trPr>
          <w:trHeight w:val="178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1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40" w:right="0" w:firstLine="0"/>
            </w:pPr>
            <w:r>
              <w:rPr>
                <w:rStyle w:val="CharStyle27"/>
              </w:rPr>
              <w:t>Объем термостата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1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27"/>
              </w:rPr>
              <w:t>Не менее 12.9 л, но не более 13,9 л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1"/>
              <w:framePr w:w="1021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80" w:right="0" w:firstLine="140"/>
            </w:pPr>
            <w:r>
              <w:rPr>
                <w:rStyle w:val="CharStyle27"/>
              </w:rPr>
              <w:t xml:space="preserve">- 'На рынке России представлены газовые хроматографы с объемом термостата до </w:t>
            </w:r>
            <w:r>
              <w:rPr>
                <w:rStyle w:val="CharStyle33"/>
              </w:rPr>
              <w:t xml:space="preserve">17 </w:t>
            </w:r>
            <w:r>
              <w:rPr>
                <w:rStyle w:val="CharStyle27"/>
              </w:rPr>
              <w:t>л, что позволяет комфортно устанавливать все типоразмеры колонок и выполнять те же аналитические задачи</w:t>
            </w:r>
          </w:p>
        </w:tc>
      </w:tr>
      <w:tr>
        <w:trPr>
          <w:trHeight w:val="122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1"/>
              <w:framePr w:w="1021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40" w:right="0" w:firstLine="0"/>
            </w:pPr>
            <w:r>
              <w:rPr>
                <w:rStyle w:val="CharStyle27"/>
              </w:rPr>
              <w:t>Максимальное количество ступеней повышения и понижения температуры в термостате при выполнении временной программы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1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27"/>
              </w:rPr>
              <w:t>Не менее 5, но не более 40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1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27"/>
              </w:rPr>
              <w:t>По какой причине параметр ограничен 40 ступенями?</w:t>
            </w:r>
          </w:p>
        </w:tc>
      </w:tr>
      <w:tr>
        <w:trPr>
          <w:trHeight w:val="118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1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40" w:right="0" w:firstLine="0"/>
            </w:pPr>
            <w:r>
              <w:rPr>
                <w:rStyle w:val="CharStyle27"/>
              </w:rPr>
              <w:t>Вес автоинжектора без учета виал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1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27"/>
              </w:rPr>
              <w:t>Не более 6 кг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1"/>
              <w:framePr w:w="1021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20" w:line="336" w:lineRule="exact"/>
              <w:ind w:left="0" w:right="0" w:firstLine="0"/>
            </w:pPr>
            <w:r>
              <w:rPr>
                <w:rStyle w:val="CharStyle27"/>
              </w:rPr>
              <w:t xml:space="preserve">Подразумевается автоинжектор </w:t>
            </w:r>
            <w:r>
              <w:rPr>
                <w:rStyle w:val="CharStyle27"/>
                <w:lang w:val="en-US" w:eastAsia="en-US" w:bidi="en-US"/>
              </w:rPr>
              <w:t xml:space="preserve">AOC-20i/s </w:t>
            </w:r>
            <w:r>
              <w:rPr>
                <w:rStyle w:val="CharStyle27"/>
              </w:rPr>
              <w:t xml:space="preserve">фирмы </w:t>
            </w:r>
            <w:r>
              <w:rPr>
                <w:rStyle w:val="CharStyle27"/>
                <w:lang w:val="en-US" w:eastAsia="en-US" w:bidi="en-US"/>
              </w:rPr>
              <w:t>Shimadzu,</w:t>
            </w:r>
          </w:p>
          <w:p>
            <w:pPr>
              <w:pStyle w:val="Style21"/>
              <w:framePr w:w="1021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20" w:after="0" w:line="278" w:lineRule="exact"/>
              <w:ind w:left="0" w:right="0" w:firstLine="0"/>
            </w:pPr>
            <w:r>
              <w:rPr>
                <w:rStyle w:val="CharStyle27"/>
              </w:rPr>
              <w:t>технические решения других производителей автоинжекторов на 150 виал и более имеют вес более 6 кг без учета виал</w:t>
            </w:r>
          </w:p>
        </w:tc>
      </w:tr>
      <w:tr>
        <w:trPr>
          <w:trHeight w:val="1354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1"/>
              <w:framePr w:w="1021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8" w:lineRule="exact"/>
              <w:ind w:left="140" w:right="0" w:firstLine="0"/>
            </w:pPr>
            <w:r>
              <w:rPr>
                <w:rStyle w:val="CharStyle27"/>
              </w:rPr>
              <w:t>Количество одновременно устанавливаемых виал с пробами в карусель или лоток для проб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1"/>
              <w:framePr w:w="1021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8" w:lineRule="exact"/>
              <w:ind w:left="0" w:right="0" w:firstLine="0"/>
            </w:pPr>
            <w:r>
              <w:rPr>
                <w:rStyle w:val="CharStyle27"/>
              </w:rPr>
              <w:t>Не менее 150 шт.</w:t>
            </w:r>
          </w:p>
        </w:tc>
        <w:tc>
          <w:tcPr>
            <w:shd w:val="clear" w:color="auto" w:fill="FFFFFF"/>
            <w:vMerge/>
            <w:tcBorders>
              <w:left w:val="single" w:sz="4"/>
              <w:right w:val="single" w:sz="4"/>
              <w:bottom w:val="single" w:sz="4"/>
            </w:tcBorders>
            <w:vAlign w:val="bottom"/>
          </w:tcPr>
          <w:p>
            <w:pPr>
              <w:framePr w:w="10219" w:wrap="notBeside" w:vAnchor="text" w:hAnchor="text" w:xAlign="center" w:y="1"/>
            </w:pP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223" w:after="0" w:line="312" w:lineRule="exact"/>
        <w:ind w:left="80" w:right="2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ООО «Хроматэк ТД» приходи к выводу, что </w:t>
      </w:r>
      <w:r>
        <w:rPr>
          <w:rStyle w:val="CharStyle25"/>
        </w:rPr>
        <w:t>подбор</w:t>
      </w:r>
      <w:r>
        <w:rPr>
          <w:lang w:val="ru-RU" w:eastAsia="ru-RU" w:bidi="ru-RU"/>
          <w:w w:val="100"/>
          <w:color w:val="000000"/>
          <w:position w:val="0"/>
        </w:rPr>
        <w:t xml:space="preserve"> характеристик в техническом задании имеет цель ограничить конкурентные предложения товаров других производителей, в том числе отечественного производства, и отстранить их ог участия в закупке.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300" w:line="317" w:lineRule="exact"/>
        <w:ind w:left="80" w:right="2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Согласно требованиям статьи 8 Федерального закона от 05.04.2013 </w:t>
      </w:r>
      <w:r>
        <w:rPr>
          <w:lang w:val="en-US" w:eastAsia="en-US" w:bidi="en-US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color w:val="000000"/>
          <w:position w:val="0"/>
        </w:rPr>
        <w:t>44-ФЗ "О контрактной системе в сфере закупок товаров, работ, услуг для обеспечения государственных и муниципальных нужд"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80" w:right="20" w:firstLine="720"/>
      </w:pPr>
      <w:r>
        <w:rPr>
          <w:rStyle w:val="CharStyle26"/>
        </w:rPr>
        <w:t xml:space="preserve">Конкуренция </w:t>
      </w:r>
      <w:r>
        <w:rPr>
          <w:lang w:val="ru-RU" w:eastAsia="ru-RU" w:bidi="ru-RU"/>
          <w:w w:val="100"/>
          <w:color w:val="000000"/>
          <w:position w:val="0"/>
        </w:rPr>
        <w:t xml:space="preserve">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</w:t>
      </w:r>
      <w:r>
        <w:rPr>
          <w:rStyle w:val="CharStyle26"/>
        </w:rPr>
        <w:t xml:space="preserve">Запрещается </w:t>
      </w:r>
      <w:r>
        <w:rPr>
          <w:lang w:val="ru-RU" w:eastAsia="ru-RU" w:bidi="ru-RU"/>
          <w:w w:val="100"/>
          <w:color w:val="000000"/>
          <w:position w:val="0"/>
        </w:rPr>
        <w:t>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80" w:right="2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В силу требований статьи 17.1 Федерального закона от 26.07.2006 </w:t>
      </w:r>
      <w:r>
        <w:rPr>
          <w:lang w:val="en-US" w:eastAsia="en-US" w:bidi="en-US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color w:val="000000"/>
          <w:position w:val="0"/>
        </w:rPr>
        <w:t xml:space="preserve">135-ФЗ (ред. от 03.07.2016) "О защите конкуренции" при проведении торгов </w:t>
      </w:r>
      <w:r>
        <w:rPr>
          <w:rStyle w:val="CharStyle26"/>
        </w:rPr>
        <w:t xml:space="preserve">запрещаются </w:t>
      </w:r>
      <w:r>
        <w:rPr>
          <w:lang w:val="ru-RU" w:eastAsia="ru-RU" w:bidi="ru-RU"/>
          <w:w w:val="100"/>
          <w:color w:val="000000"/>
          <w:position w:val="0"/>
        </w:rPr>
        <w:t>действия, которые приводят или могут привести к недопущению, ограничению или устранению конкуренции, в том числе создание участнику торгов, или нескольким участникам торгов, преимущественных условий участия в торгах.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20"/>
      </w:pPr>
      <w:r>
        <w:rPr>
          <w:lang w:val="ru-RU" w:eastAsia="ru-RU" w:bidi="ru-RU"/>
          <w:w w:val="100"/>
          <w:color w:val="000000"/>
          <w:position w:val="0"/>
        </w:rPr>
        <w:t>Ограничение конкуренции в ходе осуществления закупки приведет к поддержанию высокой цены на торгах, нарушит основополагающие принципы контрактной системы закупок, приведет к неэффективному расходованию бюджетных средств.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20"/>
      </w:pPr>
      <w:r>
        <w:rPr>
          <w:lang w:val="ru-RU" w:eastAsia="ru-RU" w:bidi="ru-RU"/>
          <w:w w:val="100"/>
          <w:color w:val="000000"/>
          <w:position w:val="0"/>
        </w:rPr>
        <w:t>Политика импортозамещения направлена на освобождение российских учреждений от подобных зависимостей, направлена на поддержку отечественных производителей и защиту федерального бюджета от оттока капиталов в пользу иностранных корпорации. Осуществление настоящей закупки приведет к тому, что будет закуплено импортное оборудование по наибольшей цене без конкурентной борьбы, что в свою очередь приведет к необоснованной и избыточной трате бюджетных средств (в соответствии с Указом Президента РФ от 13 мая 2017 года № 208 о Стратегии экономической безопасности РФ до 2030 года — пункт 18).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Нарушение прав ООО "Хроматэк ТД" выражается в том, что ООО "Хроматэк ТД" не может принять участие в закупке с предложением поставки аналогичного по функциональным характеристикам товара. Так, не может быть предложен к поставке аналогичный товар </w:t>
      </w:r>
      <w:r>
        <w:rPr>
          <w:rStyle w:val="CharStyle26"/>
        </w:rPr>
        <w:t xml:space="preserve">хрома го- масс-спектрометр "Хроматэк-Кристалл 5000" </w:t>
      </w:r>
      <w:r>
        <w:rPr>
          <w:lang w:val="ru-RU" w:eastAsia="ru-RU" w:bidi="ru-RU"/>
          <w:w w:val="100"/>
          <w:color w:val="000000"/>
          <w:position w:val="0"/>
        </w:rPr>
        <w:t xml:space="preserve">(производитель ЗАО СКБ "Хроматэк" г. Йошкар- Ола. Россия) по причине наличия указанных выше пунктов в техническом задании. </w:t>
      </w:r>
      <w:r>
        <w:rPr>
          <w:rStyle w:val="CharStyle26"/>
        </w:rPr>
        <w:t>Вместе с тем "Хроматэк-Кристалл 5000" включен в Госреестр СИ (№ 58954-14).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20"/>
      </w:pPr>
      <w:r>
        <w:rPr>
          <w:lang w:val="ru-RU" w:eastAsia="ru-RU" w:bidi="ru-RU"/>
          <w:w w:val="100"/>
          <w:color w:val="000000"/>
          <w:position w:val="0"/>
        </w:rPr>
        <w:t xml:space="preserve">Исключение из документации ограничивающих конкуренцию пунктов позволит принять участие в закупке поставщикам аналогичного оборудования, что обеспечит конкуренцию на торгах. Средняя рыночная цена с учетом комплектации газового хромато-масс-спектрометра (ГХ- МС) </w:t>
      </w:r>
      <w:r>
        <w:rPr>
          <w:rStyle w:val="CharStyle34"/>
        </w:rPr>
        <w:t>составляет 5.5 млн руб</w:t>
      </w:r>
      <w:r>
        <w:rPr>
          <w:rStyle w:val="CharStyle26"/>
        </w:rPr>
        <w:t xml:space="preserve">. (например, 5 460 707,87 руб. по закупке № 0103200008420003098), однако НМЦК настоящей закупки составляет 11 320 000 руб., что практически В 2 РАЗА БОЛЬШЕ конкурентной. </w:t>
      </w:r>
      <w:r>
        <w:rPr>
          <w:lang w:val="ru-RU" w:eastAsia="ru-RU" w:bidi="ru-RU"/>
          <w:w w:val="100"/>
          <w:color w:val="000000"/>
          <w:position w:val="0"/>
        </w:rPr>
        <w:t xml:space="preserve">Отсутствие конкуренции </w:t>
      </w:r>
      <w:r>
        <w:rPr>
          <w:rStyle w:val="CharStyle25"/>
        </w:rPr>
        <w:t>создаст угрозу нецелевого расходования</w:t>
      </w:r>
      <w:r>
        <w:rPr>
          <w:lang w:val="ru-RU" w:eastAsia="ru-RU" w:bidi="ru-RU"/>
          <w:w w:val="100"/>
          <w:color w:val="000000"/>
          <w:position w:val="0"/>
        </w:rPr>
        <w:t xml:space="preserve"> </w:t>
      </w:r>
      <w:r>
        <w:rPr>
          <w:rStyle w:val="CharStyle25"/>
        </w:rPr>
        <w:t>бюджетных средств и при этом будет намеренно закуплено иностранное оборудование.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20"/>
      </w:pPr>
      <w:r>
        <w:rPr>
          <w:lang w:val="ru-RU" w:eastAsia="ru-RU" w:bidi="ru-RU"/>
          <w:w w:val="100"/>
          <w:color w:val="000000"/>
          <w:position w:val="0"/>
        </w:rPr>
        <w:t>Следует отметить, что в настоящее время имеется положительный опыт оспаривания закупок с «избыточными» требованиями к оборудованию, ограничивающими конкуренцию. В качестве примеров следует привести решение по делу № 077/06/17-23427/2020 от 12.01.2021 Московского УФАС России. № ВП-67/17 от 29.07.2017 Сахалинского У ФАС России, по делу 07- 24-21026эп/17 от 22.11.2017 УФАС Московской области. Решение и Предписание Московского УФАС России по делу 2-57-583/77-19 от 28.01.2019. в которых антимонопольные органы установили, что техническому заданию соответствовало только одно оборудование, обладающее уникальной особенностью, которая не влияла на потребительское качество оборудования, что ограничивало конкуренцию.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382" w:line="302" w:lineRule="exact"/>
        <w:ind w:left="20" w:right="20" w:firstLine="720"/>
      </w:pPr>
      <w:r>
        <w:rPr>
          <w:lang w:val="ru-RU" w:eastAsia="ru-RU" w:bidi="ru-RU"/>
          <w:w w:val="100"/>
          <w:color w:val="000000"/>
          <w:position w:val="0"/>
        </w:rPr>
        <w:t>На основании изложенного и руководствуясь статьей 105 Федерального закона № 44-ФЗ «О контрактной системе»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308" w:line="200" w:lineRule="exact"/>
        <w:ind w:left="5060" w:right="0" w:firstLine="0"/>
      </w:pPr>
      <w:r>
        <w:rPr>
          <w:lang w:val="ru-RU" w:eastAsia="ru-RU" w:bidi="ru-RU"/>
          <w:w w:val="100"/>
          <w:color w:val="000000"/>
          <w:position w:val="0"/>
        </w:rPr>
        <w:t>ПРОШУ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460" w:right="0"/>
      </w:pPr>
      <w:r>
        <w:rPr>
          <w:lang w:val="ru-RU" w:eastAsia="ru-RU" w:bidi="ru-RU"/>
          <w:w w:val="100"/>
          <w:color w:val="000000"/>
          <w:position w:val="0"/>
        </w:rPr>
        <w:t xml:space="preserve"> Приостановить проведение закупки № 0121200004721000073.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460" w:right="20"/>
      </w:pPr>
      <w:r>
        <w:rPr>
          <w:lang w:val="ru-RU" w:eastAsia="ru-RU" w:bidi="ru-RU"/>
          <w:w w:val="100"/>
          <w:color w:val="000000"/>
          <w:position w:val="0"/>
        </w:rPr>
        <w:t xml:space="preserve"> Запросить у организатора закупки информацию о газовых хромато-масс- спектрометрах (ГХ-МС), характеристики которых удовлетворяют требованиям документации.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460" w:right="20"/>
      </w:pPr>
      <w:r>
        <w:rPr>
          <w:lang w:val="ru-RU" w:eastAsia="ru-RU" w:bidi="ru-RU"/>
          <w:w w:val="100"/>
          <w:color w:val="000000"/>
          <w:position w:val="0"/>
        </w:rPr>
        <w:t xml:space="preserve"> Проверить документацию закупки № 0121200004721000073на предмет ограничения конкуренции.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460" w:right="20"/>
        <w:sectPr>
          <w:type w:val="continuous"/>
          <w:pgSz w:w="11906" w:h="16838"/>
          <w:pgMar w:top="940" w:left="776" w:right="752" w:bottom="94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 xml:space="preserve"> Вынести предписание об устранении нарушений и исключении избыточных требований к оборудованию из документации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  <w:sectPr>
          <w:pgSz w:w="11906" w:h="16838"/>
          <w:pgMar w:top="955" w:left="1109" w:right="9120" w:bottom="707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Приложения:</w:t>
      </w:r>
    </w:p>
    <w:p>
      <w:pPr>
        <w:widowControl w:val="0"/>
        <w:spacing w:line="33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0" w:right="198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Извещение и документация аукциона Описание типа Шимадзу </w:t>
      </w:r>
      <w:r>
        <w:rPr>
          <w:lang w:val="en-US" w:eastAsia="en-US" w:bidi="en-US"/>
          <w:w w:val="100"/>
          <w:color w:val="000000"/>
          <w:position w:val="0"/>
        </w:rPr>
        <w:t xml:space="preserve">GCMS-QP2020 </w:t>
      </w:r>
      <w:r>
        <w:rPr>
          <w:lang w:val="ru-RU" w:eastAsia="ru-RU" w:bidi="ru-RU"/>
          <w:w w:val="100"/>
          <w:color w:val="000000"/>
          <w:position w:val="0"/>
        </w:rPr>
        <w:t xml:space="preserve">Описание типа </w:t>
      </w:r>
      <w:r>
        <w:rPr>
          <w:lang w:val="en-US" w:eastAsia="en-US" w:bidi="en-US"/>
          <w:w w:val="100"/>
          <w:color w:val="000000"/>
          <w:position w:val="0"/>
        </w:rPr>
        <w:t xml:space="preserve">Agilent </w:t>
      </w:r>
      <w:r>
        <w:rPr>
          <w:lang w:val="ru-RU" w:eastAsia="ru-RU" w:bidi="ru-RU"/>
          <w:w w:val="100"/>
          <w:color w:val="000000"/>
          <w:position w:val="0"/>
        </w:rPr>
        <w:t>7890 Описание типа Хроматэк-Кристалл 5000 Описание типа Маэстро ГХ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0" w:right="240" w:firstLine="0"/>
        <w:sectPr>
          <w:type w:val="continuous"/>
          <w:pgSz w:w="11906" w:h="16838"/>
          <w:pgMar w:top="4028" w:left="1825" w:right="3899" w:bottom="739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 xml:space="preserve">Регистрационное удостоверение Шимадзу </w:t>
      </w:r>
      <w:r>
        <w:rPr>
          <w:lang w:val="en-US" w:eastAsia="en-US" w:bidi="en-US"/>
          <w:w w:val="100"/>
          <w:color w:val="000000"/>
          <w:position w:val="0"/>
        </w:rPr>
        <w:t xml:space="preserve">GCMS-QP2020 </w:t>
      </w:r>
      <w:r>
        <w:rPr>
          <w:lang w:val="ru-RU" w:eastAsia="ru-RU" w:bidi="ru-RU"/>
          <w:w w:val="100"/>
          <w:color w:val="000000"/>
          <w:position w:val="0"/>
        </w:rPr>
        <w:t xml:space="preserve">Регистрационное удостоверение Хроматэк-Кристалл 5000 Регистрационное удостоверение </w:t>
      </w:r>
      <w:r>
        <w:rPr>
          <w:lang w:val="en-US" w:eastAsia="en-US" w:bidi="en-US"/>
          <w:w w:val="100"/>
          <w:color w:val="000000"/>
          <w:position w:val="0"/>
        </w:rPr>
        <w:t xml:space="preserve">Agilent </w:t>
      </w:r>
      <w:r>
        <w:rPr>
          <w:lang w:val="ru-RU" w:eastAsia="ru-RU" w:bidi="ru-RU"/>
          <w:w w:val="100"/>
          <w:color w:val="000000"/>
          <w:position w:val="0"/>
        </w:rPr>
        <w:t xml:space="preserve">7890 Регистрационное удостоверение Маэстро Г’Х Информация о насосе </w:t>
      </w:r>
      <w:r>
        <w:rPr>
          <w:lang w:val="en-US" w:eastAsia="en-US" w:bidi="en-US"/>
          <w:w w:val="100"/>
          <w:color w:val="000000"/>
          <w:position w:val="0"/>
        </w:rPr>
        <w:t xml:space="preserve">Edwards </w:t>
      </w:r>
      <w:r>
        <w:rPr>
          <w:lang w:val="ru-RU" w:eastAsia="ru-RU" w:bidi="ru-RU"/>
          <w:w w:val="100"/>
          <w:color w:val="000000"/>
          <w:position w:val="0"/>
        </w:rPr>
        <w:t xml:space="preserve">пЕХТ200200 Сведения о ГХ-МС Шимадзу </w:t>
      </w:r>
      <w:r>
        <w:rPr>
          <w:lang w:val="en-US" w:eastAsia="en-US" w:bidi="en-US"/>
          <w:w w:val="100"/>
          <w:color w:val="000000"/>
          <w:position w:val="0"/>
        </w:rPr>
        <w:t xml:space="preserve">GCMS-QP2020 </w:t>
      </w:r>
      <w:r>
        <w:rPr>
          <w:lang w:val="ru-RU" w:eastAsia="ru-RU" w:bidi="ru-RU"/>
          <w:w w:val="100"/>
          <w:color w:val="000000"/>
          <w:position w:val="0"/>
        </w:rPr>
        <w:t xml:space="preserve">Сведения о ГХ Шимадзу </w:t>
      </w:r>
      <w:r>
        <w:rPr>
          <w:lang w:val="en-US" w:eastAsia="en-US" w:bidi="en-US"/>
          <w:w w:val="100"/>
          <w:color w:val="000000"/>
          <w:position w:val="0"/>
        </w:rPr>
        <w:t xml:space="preserve">QP2010 Plus </w:t>
      </w:r>
      <w:r>
        <w:rPr>
          <w:lang w:val="ru-RU" w:eastAsia="ru-RU" w:bidi="ru-RU"/>
          <w:w w:val="100"/>
          <w:color w:val="000000"/>
          <w:position w:val="0"/>
        </w:rPr>
        <w:t xml:space="preserve">Сведения о ГХ-МС </w:t>
      </w:r>
      <w:r>
        <w:rPr>
          <w:lang w:val="en-US" w:eastAsia="en-US" w:bidi="en-US"/>
          <w:w w:val="100"/>
          <w:color w:val="000000"/>
          <w:position w:val="0"/>
        </w:rPr>
        <w:t xml:space="preserve">Agilent </w:t>
      </w:r>
      <w:r>
        <w:rPr>
          <w:lang w:val="ru-RU" w:eastAsia="ru-RU" w:bidi="ru-RU"/>
          <w:w w:val="100"/>
          <w:color w:val="000000"/>
          <w:position w:val="0"/>
        </w:rPr>
        <w:t>7890 Сведения о ГХ-МС Маэстро ГХ Сведения о ГХ-МС Хроматэк-Кристалл 5000</w:t>
      </w:r>
    </w:p>
    <w:p>
      <w:pPr>
        <w:pStyle w:val="Style35"/>
        <w:framePr w:w="2346" w:h="202" w:wrap="none" w:vAnchor="text" w:hAnchor="margin" w:x="5510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Подписано цифровой</w:t>
      </w:r>
    </w:p>
    <w:p>
      <w:pPr>
        <w:pStyle w:val="Style37"/>
        <w:framePr w:w="2178" w:h="1358" w:wrap="none" w:vAnchor="text" w:hAnchor="margin" w:x="3143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</w:t>
      </w:r>
    </w:p>
    <w:p>
      <w:pPr>
        <w:pStyle w:val="Style37"/>
        <w:framePr w:w="2178" w:h="1358" w:wrap="none" w:vAnchor="text" w:hAnchor="margin" w:x="3143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"ХРОМАТЭК</w:t>
      </w:r>
    </w:p>
    <w:p>
      <w:pPr>
        <w:pStyle w:val="Style37"/>
        <w:framePr w:w="2178" w:h="1358" w:wrap="none" w:vAnchor="text" w:hAnchor="margin" w:x="3143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ТД"</w:t>
      </w:r>
    </w:p>
    <w:p>
      <w:pPr>
        <w:pStyle w:val="Style21"/>
        <w:framePr w:w="2533" w:h="633" w:wrap="none" w:vAnchor="text" w:hAnchor="margin" w:x="633" w:y="116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100" w:firstLine="0"/>
      </w:pPr>
      <w:r>
        <w:rPr>
          <w:rStyle w:val="CharStyle39"/>
          <w:spacing w:val="10"/>
        </w:rPr>
        <w:t>Генеральный директор ООО «Хроматэк ТД»</w:t>
      </w:r>
    </w:p>
    <w:p>
      <w:pPr>
        <w:pStyle w:val="Style40"/>
        <w:framePr w:w="1362" w:h="202" w:wrap="none" w:vAnchor="text" w:hAnchor="margin" w:x="8428" w:y="1599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Е.А. Мусин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95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911" w:left="1095" w:right="1095" w:bottom="91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1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42"/>
      <w:szCs w:val="42"/>
      <w:rFonts w:ascii="Segoe UI" w:eastAsia="Segoe UI" w:hAnsi="Segoe UI" w:cs="Segoe UI"/>
    </w:rPr>
  </w:style>
  <w:style w:type="character" w:customStyle="1" w:styleId="CharStyle6">
    <w:name w:val="Заголовок №3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8"/>
      <w:szCs w:val="28"/>
      <w:rFonts w:ascii="Segoe UI" w:eastAsia="Segoe UI" w:hAnsi="Segoe UI" w:cs="Segoe UI"/>
    </w:rPr>
  </w:style>
  <w:style w:type="character" w:customStyle="1" w:styleId="CharStyle7">
    <w:name w:val="Заголовок №3 + 17 pt"/>
    <w:basedOn w:val="CharStyle6"/>
    <w:rPr>
      <w:lang w:val="ru-RU" w:eastAsia="ru-RU" w:bidi="ru-RU"/>
      <w:sz w:val="34"/>
      <w:szCs w:val="34"/>
      <w:w w:val="100"/>
      <w:spacing w:val="0"/>
      <w:color w:val="000000"/>
      <w:position w:val="0"/>
    </w:rPr>
  </w:style>
  <w:style w:type="character" w:customStyle="1" w:styleId="CharStyle9">
    <w:name w:val="Основной текст (2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0"/>
    </w:rPr>
  </w:style>
  <w:style w:type="character" w:customStyle="1" w:styleId="CharStyle11">
    <w:name w:val="Заголовок №2_"/>
    <w:basedOn w:val="DefaultParagraphFont"/>
    <w:link w:val="Style10"/>
    <w:rPr>
      <w:b w:val="0"/>
      <w:bCs w:val="0"/>
      <w:i/>
      <w:iCs/>
      <w:u w:val="none"/>
      <w:strike w:val="0"/>
      <w:smallCaps w:val="0"/>
      <w:sz w:val="34"/>
      <w:szCs w:val="34"/>
      <w:rFonts w:ascii="Trebuchet MS" w:eastAsia="Trebuchet MS" w:hAnsi="Trebuchet MS" w:cs="Trebuchet MS"/>
      <w:spacing w:val="-30"/>
    </w:rPr>
  </w:style>
  <w:style w:type="character" w:customStyle="1" w:styleId="CharStyle12">
    <w:name w:val="Заголовок №2"/>
    <w:basedOn w:val="CharStyle11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character" w:customStyle="1" w:styleId="CharStyle15">
    <w:name w:val="Основной текст (3) + 7 pt,Не полужирный,Малые прописные,Интервал 1 pt"/>
    <w:basedOn w:val="CharStyle14"/>
    <w:rPr>
      <w:lang w:val="ru-RU" w:eastAsia="ru-RU" w:bidi="ru-RU"/>
      <w:b/>
      <w:bCs/>
      <w:smallCaps/>
      <w:sz w:val="14"/>
      <w:szCs w:val="14"/>
      <w:w w:val="100"/>
      <w:spacing w:val="20"/>
      <w:color w:val="000000"/>
      <w:position w:val="0"/>
    </w:rPr>
  </w:style>
  <w:style w:type="character" w:customStyle="1" w:styleId="CharStyle17">
    <w:name w:val="Основной текст (4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character" w:customStyle="1" w:styleId="CharStyle19">
    <w:name w:val="Основной текст (5)_"/>
    <w:basedOn w:val="DefaultParagraphFont"/>
    <w:link w:val="Style18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0"/>
    </w:rPr>
  </w:style>
  <w:style w:type="character" w:customStyle="1" w:styleId="CharStyle20">
    <w:name w:val="Основной текст (5)"/>
    <w:basedOn w:val="CharStyle19"/>
    <w:rPr>
      <w:u w:val="single"/>
      <w:w w:val="100"/>
      <w:color w:val="000000"/>
      <w:position w:val="0"/>
    </w:rPr>
  </w:style>
  <w:style w:type="character" w:customStyle="1" w:styleId="CharStyle22">
    <w:name w:val="Основной текст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character" w:customStyle="1" w:styleId="CharStyle23">
    <w:name w:val="Основной текст (4)"/>
    <w:basedOn w:val="CharStyle17"/>
    <w:rPr>
      <w:lang w:val="ru-RU" w:eastAsia="ru-RU" w:bidi="ru-RU"/>
      <w:w w:val="100"/>
      <w:color w:val="000000"/>
      <w:position w:val="0"/>
    </w:rPr>
  </w:style>
  <w:style w:type="character" w:customStyle="1" w:styleId="CharStyle24">
    <w:name w:val="Основной текст (4)"/>
    <w:basedOn w:val="CharStyle17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25">
    <w:name w:val="Основной текст"/>
    <w:basedOn w:val="CharStyle2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26">
    <w:name w:val="Основной текст + Полужирный"/>
    <w:basedOn w:val="CharStyle22"/>
    <w:rPr>
      <w:lang w:val="ru-RU" w:eastAsia="ru-RU" w:bidi="ru-RU"/>
      <w:b/>
      <w:bCs/>
      <w:w w:val="100"/>
      <w:color w:val="000000"/>
      <w:position w:val="0"/>
    </w:rPr>
  </w:style>
  <w:style w:type="character" w:customStyle="1" w:styleId="CharStyle27">
    <w:name w:val="Основной текст"/>
    <w:basedOn w:val="CharStyle22"/>
    <w:rPr>
      <w:lang w:val="ru-RU" w:eastAsia="ru-RU" w:bidi="ru-RU"/>
      <w:w w:val="100"/>
      <w:color w:val="000000"/>
      <w:position w:val="0"/>
    </w:rPr>
  </w:style>
  <w:style w:type="character" w:customStyle="1" w:styleId="CharStyle28">
    <w:name w:val="Основной текст + Полужирный"/>
    <w:basedOn w:val="CharStyle22"/>
    <w:rPr>
      <w:lang w:val="ru-RU" w:eastAsia="ru-RU" w:bidi="ru-RU"/>
      <w:b/>
      <w:bCs/>
      <w:w w:val="100"/>
      <w:color w:val="000000"/>
      <w:position w:val="0"/>
    </w:rPr>
  </w:style>
  <w:style w:type="character" w:customStyle="1" w:styleId="CharStyle29">
    <w:name w:val="Основной текст + Малые прописные"/>
    <w:basedOn w:val="CharStyle22"/>
    <w:rPr>
      <w:lang w:val="ru-RU" w:eastAsia="ru-RU" w:bidi="ru-RU"/>
      <w:smallCaps/>
      <w:w w:val="100"/>
      <w:color w:val="000000"/>
      <w:position w:val="0"/>
    </w:rPr>
  </w:style>
  <w:style w:type="character" w:customStyle="1" w:styleId="CharStyle31">
    <w:name w:val="Подпись к таблице_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character" w:customStyle="1" w:styleId="CharStyle32">
    <w:name w:val="Основной текст + Trebuchet MS,4 pt,Интервал 0 pt"/>
    <w:basedOn w:val="CharStyle22"/>
    <w:rPr>
      <w:lang w:val="ru-RU" w:eastAsia="ru-RU" w:bidi="ru-RU"/>
      <w:sz w:val="8"/>
      <w:szCs w:val="8"/>
      <w:rFonts w:ascii="Trebuchet MS" w:eastAsia="Trebuchet MS" w:hAnsi="Trebuchet MS" w:cs="Trebuchet MS"/>
      <w:w w:val="100"/>
      <w:spacing w:val="0"/>
      <w:color w:val="000000"/>
      <w:position w:val="0"/>
    </w:rPr>
  </w:style>
  <w:style w:type="character" w:customStyle="1" w:styleId="CharStyle33">
    <w:name w:val="Основной текст"/>
    <w:basedOn w:val="CharStyle22"/>
    <w:rPr>
      <w:lang w:val="ru-RU" w:eastAsia="ru-RU" w:bidi="ru-RU"/>
      <w:w w:val="100"/>
      <w:color w:val="000000"/>
      <w:position w:val="0"/>
    </w:rPr>
  </w:style>
  <w:style w:type="character" w:customStyle="1" w:styleId="CharStyle34">
    <w:name w:val="Основной текст + Полужирный"/>
    <w:basedOn w:val="CharStyle22"/>
    <w:rPr>
      <w:lang w:val="ru-RU" w:eastAsia="ru-RU" w:bidi="ru-RU"/>
      <w:b/>
      <w:bCs/>
      <w:u w:val="single"/>
      <w:w w:val="100"/>
      <w:color w:val="000000"/>
      <w:position w:val="0"/>
    </w:rPr>
  </w:style>
  <w:style w:type="character" w:customStyle="1" w:styleId="CharStyle36">
    <w:name w:val="Основной текст (6) Exact"/>
    <w:basedOn w:val="DefaultParagraphFont"/>
    <w:link w:val="Style35"/>
    <w:rPr>
      <w:b w:val="0"/>
      <w:bCs w:val="0"/>
      <w:i w:val="0"/>
      <w:iCs w:val="0"/>
      <w:u w:val="none"/>
      <w:strike w:val="0"/>
      <w:smallCaps w:val="0"/>
      <w:sz w:val="19"/>
      <w:szCs w:val="19"/>
      <w:rFonts w:ascii="Segoe UI" w:eastAsia="Segoe UI" w:hAnsi="Segoe UI" w:cs="Segoe UI"/>
      <w:spacing w:val="2"/>
    </w:rPr>
  </w:style>
  <w:style w:type="character" w:customStyle="1" w:styleId="CharStyle38">
    <w:name w:val="Основной текст (7) Exact"/>
    <w:basedOn w:val="DefaultParagraphFont"/>
    <w:link w:val="Style37"/>
    <w:rPr>
      <w:b w:val="0"/>
      <w:bCs w:val="0"/>
      <w:i w:val="0"/>
      <w:iCs w:val="0"/>
      <w:u w:val="none"/>
      <w:strike w:val="0"/>
      <w:smallCaps w:val="0"/>
      <w:sz w:val="32"/>
      <w:szCs w:val="32"/>
      <w:rFonts w:ascii="Segoe UI" w:eastAsia="Segoe UI" w:hAnsi="Segoe UI" w:cs="Segoe UI"/>
      <w:spacing w:val="-2"/>
    </w:rPr>
  </w:style>
  <w:style w:type="character" w:customStyle="1" w:styleId="CharStyle3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2"/>
    </w:rPr>
  </w:style>
  <w:style w:type="character" w:customStyle="1" w:styleId="CharStyle41">
    <w:name w:val="Основной текст (8) Exact"/>
    <w:basedOn w:val="DefaultParagraphFont"/>
    <w:link w:val="Style40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9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jc w:val="right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42"/>
      <w:szCs w:val="42"/>
      <w:rFonts w:ascii="Segoe UI" w:eastAsia="Segoe UI" w:hAnsi="Segoe UI" w:cs="Segoe UI"/>
    </w:rPr>
  </w:style>
  <w:style w:type="paragraph" w:customStyle="1" w:styleId="Style5">
    <w:name w:val="Заголовок №3"/>
    <w:basedOn w:val="Normal"/>
    <w:link w:val="CharStyle6"/>
    <w:pPr>
      <w:widowControl w:val="0"/>
      <w:shd w:val="clear" w:color="auto" w:fill="FFFFFF"/>
      <w:outlineLvl w:val="2"/>
      <w:spacing w:after="30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Segoe UI" w:eastAsia="Segoe UI" w:hAnsi="Segoe UI" w:cs="Segoe UI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before="300" w:line="22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0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FFFFFF"/>
      <w:outlineLvl w:val="1"/>
      <w:spacing w:before="420" w:line="0" w:lineRule="exact"/>
    </w:pPr>
    <w:rPr>
      <w:b w:val="0"/>
      <w:bCs w:val="0"/>
      <w:i/>
      <w:iCs/>
      <w:u w:val="none"/>
      <w:strike w:val="0"/>
      <w:smallCaps w:val="0"/>
      <w:sz w:val="34"/>
      <w:szCs w:val="34"/>
      <w:rFonts w:ascii="Trebuchet MS" w:eastAsia="Trebuchet MS" w:hAnsi="Trebuchet MS" w:cs="Trebuchet MS"/>
      <w:spacing w:val="-30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after="6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spacing w:before="60" w:line="49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spacing w:after="36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0"/>
    </w:rPr>
  </w:style>
  <w:style w:type="paragraph" w:customStyle="1" w:styleId="Style21">
    <w:name w:val="Основной текст"/>
    <w:basedOn w:val="Normal"/>
    <w:link w:val="CharStyle22"/>
    <w:pPr>
      <w:widowControl w:val="0"/>
      <w:shd w:val="clear" w:color="auto" w:fill="FFFFFF"/>
      <w:spacing w:before="360" w:after="660" w:line="0" w:lineRule="exact"/>
      <w:ind w:hanging="360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paragraph" w:customStyle="1" w:styleId="Style30">
    <w:name w:val="Подпись к таблице"/>
    <w:basedOn w:val="Normal"/>
    <w:link w:val="CharStyle31"/>
    <w:pPr>
      <w:widowControl w:val="0"/>
      <w:shd w:val="clear" w:color="auto" w:fill="FFFFFF"/>
      <w:jc w:val="both"/>
      <w:spacing w:line="317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paragraph" w:customStyle="1" w:styleId="Style35">
    <w:name w:val="Основной текст (6)"/>
    <w:basedOn w:val="Normal"/>
    <w:link w:val="CharStyle3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Segoe UI" w:eastAsia="Segoe UI" w:hAnsi="Segoe UI" w:cs="Segoe UI"/>
      <w:spacing w:val="2"/>
    </w:rPr>
  </w:style>
  <w:style w:type="paragraph" w:customStyle="1" w:styleId="Style37">
    <w:name w:val="Основной текст (7)"/>
    <w:basedOn w:val="Normal"/>
    <w:link w:val="CharStyle38"/>
    <w:pPr>
      <w:widowControl w:val="0"/>
      <w:shd w:val="clear" w:color="auto" w:fill="FFFFFF"/>
      <w:spacing w:line="475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Segoe UI" w:eastAsia="Segoe UI" w:hAnsi="Segoe UI" w:cs="Segoe UI"/>
      <w:spacing w:val="-2"/>
    </w:rPr>
  </w:style>
  <w:style w:type="paragraph" w:customStyle="1" w:styleId="Style40">
    <w:name w:val="Основной текст (8)"/>
    <w:basedOn w:val="Normal"/>
    <w:link w:val="CharStyle4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9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