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1900" w:right="0" w:firstLine="0"/>
      </w:pPr>
      <w:r>
        <w:rPr>
          <w:lang w:val="ru-RU" w:eastAsia="ru-RU" w:bidi="ru-RU"/>
          <w:w w:val="100"/>
          <w:spacing w:val="0"/>
          <w:color w:val="000000"/>
          <w:position w:val="0"/>
        </w:rPr>
        <w:t>Оператор электронной площадки:</w:t>
      </w:r>
    </w:p>
    <w:p>
      <w:pPr>
        <w:pStyle w:val="Style14"/>
        <w:widowControl w:val="0"/>
        <w:keepNext w:val="0"/>
        <w:keepLines w:val="0"/>
        <w:shd w:val="clear" w:color="auto" w:fill="auto"/>
        <w:bidi w:val="0"/>
        <w:spacing w:before="0" w:after="0"/>
        <w:ind w:left="1900" w:right="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14"/>
        <w:widowControl w:val="0"/>
        <w:keepNext w:val="0"/>
        <w:keepLines w:val="0"/>
        <w:shd w:val="clear" w:color="auto" w:fill="auto"/>
        <w:bidi w:val="0"/>
        <w:spacing w:before="0" w:after="0"/>
        <w:ind w:left="1900" w:right="0" w:firstLine="0"/>
      </w:pPr>
      <w:r>
        <w:rPr>
          <w:lang w:val="ru-RU" w:eastAsia="ru-RU" w:bidi="ru-RU"/>
          <w:w w:val="100"/>
          <w:spacing w:val="0"/>
          <w:color w:val="000000"/>
          <w:position w:val="0"/>
        </w:rPr>
        <w:t>119435, г. Москва, Большой Саввинский переулок, д. 12, стр.9</w:t>
      </w:r>
    </w:p>
    <w:p>
      <w:pPr>
        <w:pStyle w:val="Style14"/>
        <w:widowControl w:val="0"/>
        <w:keepNext w:val="0"/>
        <w:keepLines w:val="0"/>
        <w:shd w:val="clear" w:color="auto" w:fill="auto"/>
        <w:bidi w:val="0"/>
        <w:spacing w:before="0" w:after="0"/>
        <w:ind w:left="1900" w:right="0" w:firstLine="0"/>
      </w:pPr>
      <w:r>
        <w:rPr>
          <w:lang w:val="ru-RU" w:eastAsia="ru-RU" w:bidi="ru-RU"/>
          <w:w w:val="100"/>
          <w:spacing w:val="0"/>
          <w:color w:val="000000"/>
          <w:position w:val="0"/>
        </w:rPr>
        <w:t>тел.: (495) 7872999/97 доб. 369, Факс: (495)</w:t>
      </w:r>
    </w:p>
    <w:p>
      <w:pPr>
        <w:pStyle w:val="Style3"/>
        <w:framePr w:w="4104" w:h="3390" w:wrap="around" w:vAnchor="text" w:hAnchor="margin" w:x="244" w:y="-36"/>
        <w:widowControl w:val="0"/>
        <w:keepNext w:val="0"/>
        <w:keepLines w:val="0"/>
        <w:shd w:val="clear" w:color="auto" w:fill="auto"/>
        <w:bidi w:val="0"/>
        <w:jc w:val="center"/>
        <w:spacing w:before="0" w:after="78" w:line="263" w:lineRule="exact"/>
        <w:ind w:left="80" w:right="0" w:firstLine="0"/>
      </w:pPr>
      <w:r>
        <w:rPr>
          <w:rStyle w:val="CharStyle4"/>
          <w:b/>
          <w:bCs/>
          <w:spacing w:val="0"/>
        </w:rPr>
        <w:t>ФЕДЕРАЛЬНАЯ АНТИМОНОПОЛЬНАЯ СЛУЖБА</w:t>
      </w:r>
    </w:p>
    <w:p>
      <w:pPr>
        <w:pStyle w:val="Style5"/>
        <w:framePr w:w="4104" w:h="3390" w:wrap="around" w:vAnchor="text" w:hAnchor="margin" w:x="244" w:y="-36"/>
        <w:widowControl w:val="0"/>
        <w:keepNext w:val="0"/>
        <w:keepLines w:val="0"/>
        <w:shd w:val="clear" w:color="auto" w:fill="auto"/>
        <w:bidi w:val="0"/>
        <w:spacing w:before="0" w:after="0" w:line="240" w:lineRule="exact"/>
        <w:ind w:left="80" w:right="0" w:firstLine="0"/>
      </w:pPr>
      <w:r>
        <w:rPr>
          <w:lang w:val="ru-RU" w:eastAsia="ru-RU" w:bidi="ru-RU"/>
          <w:sz w:val="24"/>
          <w:szCs w:val="24"/>
          <w:w w:val="100"/>
          <w:spacing w:val="0"/>
          <w:color w:val="000000"/>
          <w:position w:val="0"/>
        </w:rPr>
        <w:t>УПРАВЛЕНИЕ</w:t>
      </w:r>
    </w:p>
    <w:p>
      <w:pPr>
        <w:pStyle w:val="Style3"/>
        <w:framePr w:w="4104" w:h="3390" w:wrap="around" w:vAnchor="text" w:hAnchor="margin" w:x="244" w:y="-36"/>
        <w:widowControl w:val="0"/>
        <w:keepNext w:val="0"/>
        <w:keepLines w:val="0"/>
        <w:shd w:val="clear" w:color="auto" w:fill="auto"/>
        <w:bidi w:val="0"/>
        <w:jc w:val="center"/>
        <w:spacing w:before="0" w:after="98" w:line="277" w:lineRule="exact"/>
        <w:ind w:left="8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104" w:h="3390" w:wrap="around" w:vAnchor="text" w:hAnchor="margin" w:x="244" w:y="-36"/>
        <w:widowControl w:val="0"/>
        <w:keepNext w:val="0"/>
        <w:keepLines w:val="0"/>
        <w:shd w:val="clear" w:color="auto" w:fill="auto"/>
        <w:bidi w:val="0"/>
        <w:spacing w:before="0" w:after="216"/>
        <w:ind w:left="8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spacing w:val="0"/>
        </w:rPr>
        <w:t>to86@fas.gov.ru</w:t>
      </w:r>
      <w:r>
        <w:fldChar w:fldCharType="end"/>
      </w:r>
    </w:p>
    <w:p>
      <w:pPr>
        <w:pStyle w:val="Style10"/>
        <w:framePr w:w="4104" w:h="3390" w:wrap="around" w:vAnchor="text" w:hAnchor="margin" w:x="244" w:y="-36"/>
        <w:widowControl w:val="0"/>
        <w:keepNext w:val="0"/>
        <w:keepLines w:val="0"/>
        <w:shd w:val="clear" w:color="auto" w:fill="auto"/>
        <w:bidi w:val="0"/>
        <w:spacing w:before="0" w:after="0" w:line="260" w:lineRule="exact"/>
        <w:ind w:left="0" w:right="100" w:firstLine="0"/>
      </w:pPr>
      <w:r>
        <w:rPr>
          <w:rStyle w:val="CharStyle12"/>
          <w:spacing w:val="0"/>
        </w:rPr>
        <w:t>2021</w:t>
      </w:r>
      <w:r>
        <w:rPr>
          <w:lang w:val="ru-RU" w:eastAsia="ru-RU" w:bidi="ru-RU"/>
          <w:w w:val="100"/>
          <w:spacing w:val="0"/>
          <w:color w:val="000000"/>
          <w:position w:val="0"/>
        </w:rPr>
        <w:t xml:space="preserve"> № </w:t>
      </w:r>
      <w:r>
        <w:rPr>
          <w:rStyle w:val="CharStyle12"/>
          <w:spacing w:val="0"/>
        </w:rPr>
        <w:t>оз/ти-</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7872998</w:t>
      </w:r>
    </w:p>
    <w:p>
      <w:pPr>
        <w:pStyle w:val="Style14"/>
        <w:widowControl w:val="0"/>
        <w:keepNext w:val="0"/>
        <w:keepLines w:val="0"/>
        <w:shd w:val="clear" w:color="auto" w:fill="auto"/>
        <w:bidi w:val="0"/>
        <w:spacing w:before="0" w:after="0"/>
        <w:ind w:left="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6"/>
        </w:rPr>
        <w:t>Заявитель:</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"ДЕЗСТАНЦИЯ НВ"</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628621, АО Ханты-Мансийский автономный округ - Югра, г Нижневартовск, ул декабристов, дом 14А, квартира 41 Тел.: 7 9821964240 </w:t>
      </w:r>
      <w:r>
        <w:rPr>
          <w:lang w:val="en-US" w:eastAsia="en-US" w:bidi="en-US"/>
          <w:w w:val="100"/>
          <w:spacing w:val="0"/>
          <w:color w:val="000000"/>
          <w:position w:val="0"/>
        </w:rPr>
        <w:t xml:space="preserve">e-mail: </w:t>
      </w:r>
      <w:r>
        <w:rPr>
          <w:rStyle w:val="CharStyle17"/>
        </w:rPr>
        <w:t xml:space="preserve">bolshunov </w:t>
      </w:r>
      <w:r>
        <w:fldChar w:fldCharType="begin"/>
      </w:r>
      <w:r>
        <w:rPr>
          <w:rStyle w:val="CharStyle17"/>
        </w:rPr>
        <w:instrText> HYPERLINK "mailto:1990@bk.ru" </w:instrText>
      </w:r>
      <w:r>
        <w:fldChar w:fldCharType="separate"/>
      </w:r>
      <w:r>
        <w:rPr>
          <w:rStyle w:val="Hyperlink"/>
          <w:lang w:val="ru-RU" w:eastAsia="ru-RU" w:bidi="ru-RU"/>
        </w:rPr>
        <w:t>1</w:t>
      </w:r>
      <w:r>
        <w:rPr>
          <w:rStyle w:val="Hyperlink"/>
        </w:rPr>
        <w:t>990@bk.ru</w:t>
      </w:r>
      <w:r>
        <w:fldChar w:fldCharType="end"/>
      </w:r>
      <w:r>
        <w:rPr>
          <w:lang w:val="en-US" w:eastAsia="en-US" w:bidi="en-US"/>
          <w:w w:val="100"/>
          <w:spacing w:val="0"/>
          <w:color w:val="000000"/>
          <w:position w:val="0"/>
        </w:rPr>
        <w:t xml:space="preserve"> </w:t>
      </w:r>
      <w:r>
        <w:rPr>
          <w:rStyle w:val="CharStyle16"/>
        </w:rPr>
        <w:t>Заказчик:</w:t>
      </w:r>
    </w:p>
    <w:p>
      <w:pPr>
        <w:pStyle w:val="Style14"/>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Казенное учреждение Ханты-Мансийского автономного округа - Югры «Нижневартовский противотуберкулезный диспансер»</w:t>
      </w:r>
    </w:p>
    <w:p>
      <w:pPr>
        <w:pStyle w:val="Style14"/>
        <w:widowControl w:val="0"/>
        <w:keepNext w:val="0"/>
        <w:keepLines w:val="0"/>
        <w:shd w:val="clear" w:color="auto" w:fill="auto"/>
        <w:bidi w:val="0"/>
        <w:jc w:val="left"/>
        <w:spacing w:before="0" w:after="283"/>
        <w:ind w:left="4740" w:right="300" w:firstLine="0"/>
      </w:pPr>
      <w:r>
        <w:rPr>
          <w:lang w:val="ru-RU" w:eastAsia="ru-RU" w:bidi="ru-RU"/>
          <w:w w:val="100"/>
          <w:spacing w:val="0"/>
          <w:color w:val="000000"/>
          <w:position w:val="0"/>
        </w:rPr>
        <w:t xml:space="preserve">628624, РФ, Тюменская область, ХМАО - Югра, г. Нижневартовск, ул. Мира, </w:t>
      </w:r>
      <w:r>
        <w:rPr>
          <w:rStyle w:val="CharStyle18"/>
        </w:rPr>
        <w:t xml:space="preserve">Д.74Б </w:t>
      </w:r>
      <w:r>
        <w:rPr>
          <w:lang w:val="ru-RU" w:eastAsia="ru-RU" w:bidi="ru-RU"/>
          <w:w w:val="100"/>
          <w:spacing w:val="0"/>
          <w:color w:val="000000"/>
          <w:position w:val="0"/>
        </w:rPr>
        <w:t xml:space="preserve">Тел.: 8 (3466)45-41-86 </w:t>
      </w:r>
      <w:r>
        <w:rPr>
          <w:lang w:val="en-US" w:eastAsia="en-US" w:bidi="en-US"/>
          <w:w w:val="100"/>
          <w:spacing w:val="0"/>
          <w:color w:val="000000"/>
          <w:position w:val="0"/>
        </w:rPr>
        <w:t xml:space="preserve">e-mail: </w:t>
      </w:r>
      <w:r>
        <w:fldChar w:fldCharType="begin"/>
      </w:r>
      <w:r>
        <w:rPr>
          <w:rStyle w:val="CharStyle17"/>
        </w:rPr>
        <w:instrText> HYPERLINK "mailto:sekretar@nvptd.ru" </w:instrText>
      </w:r>
      <w:r>
        <w:fldChar w:fldCharType="separate"/>
      </w:r>
      <w:r>
        <w:rPr>
          <w:rStyle w:val="Hyperlink"/>
        </w:rPr>
        <w:t>sekretar@nvptd.ru</w:t>
      </w:r>
      <w:r>
        <w:fldChar w:fldCharType="end"/>
      </w:r>
      <w:r>
        <w:rPr>
          <w:lang w:val="en-US" w:eastAsia="en-US" w:bidi="en-US"/>
          <w:w w:val="100"/>
          <w:spacing w:val="0"/>
          <w:color w:val="000000"/>
          <w:position w:val="0"/>
        </w:rPr>
        <w:t xml:space="preserve"> </w:t>
      </w:r>
      <w:r>
        <w:fldChar w:fldCharType="begin"/>
      </w:r>
      <w:r>
        <w:rPr>
          <w:rStyle w:val="CharStyle17"/>
        </w:rPr>
        <w:instrText> HYPERLINK "mailto:dogovornvtub@vandex.ru" </w:instrText>
      </w:r>
      <w:r>
        <w:fldChar w:fldCharType="separate"/>
      </w:r>
      <w:r>
        <w:rPr>
          <w:rStyle w:val="Hyperlink"/>
        </w:rPr>
        <w:t>dogovornvtub@vandex.ru</w:t>
      </w:r>
      <w:r>
        <w:fldChar w:fldCharType="end"/>
      </w:r>
    </w:p>
    <w:p>
      <w:pPr>
        <w:pStyle w:val="Style19"/>
        <w:widowControl w:val="0"/>
        <w:keepNext/>
        <w:keepLines/>
        <w:shd w:val="clear" w:color="auto" w:fill="auto"/>
        <w:bidi w:val="0"/>
        <w:spacing w:before="0" w:after="267" w:line="220" w:lineRule="exact"/>
        <w:ind w:left="0" w:right="0" w:firstLine="0"/>
      </w:pPr>
      <w:bookmarkStart w:id="0" w:name="bookmark0"/>
      <w:r>
        <w:rPr>
          <w:lang w:val="ru-RU" w:eastAsia="ru-RU" w:bidi="ru-RU"/>
          <w:w w:val="100"/>
          <w:spacing w:val="0"/>
          <w:color w:val="000000"/>
          <w:position w:val="0"/>
        </w:rPr>
        <w:t>РЕШЕНИЕ № 086/06/69-264/2021</w:t>
      </w:r>
      <w:bookmarkEnd w:id="0"/>
    </w:p>
    <w:p>
      <w:pPr>
        <w:pStyle w:val="Style14"/>
        <w:tabs>
          <w:tab w:leader="none" w:pos="7783" w:val="right"/>
          <w:tab w:leader="none" w:pos="7959" w:val="left"/>
        </w:tabs>
        <w:widowControl w:val="0"/>
        <w:keepNext w:val="0"/>
        <w:keepLines w:val="0"/>
        <w:shd w:val="clear" w:color="auto" w:fill="auto"/>
        <w:bidi w:val="0"/>
        <w:spacing w:before="0" w:after="0" w:line="277" w:lineRule="exact"/>
        <w:ind w:left="0" w:right="0" w:firstLine="0"/>
      </w:pPr>
      <w:r>
        <w:rPr>
          <w:lang w:val="ru-RU" w:eastAsia="ru-RU" w:bidi="ru-RU"/>
          <w:w w:val="100"/>
          <w:spacing w:val="0"/>
          <w:color w:val="000000"/>
          <w:position w:val="0"/>
        </w:rPr>
        <w:t>Резолютивная часть объявлена 17.02.2021</w:t>
        <w:tab/>
        <w:t>г.</w:t>
        <w:tab/>
        <w:t>Ханты-Мансийск</w:t>
      </w:r>
    </w:p>
    <w:p>
      <w:pPr>
        <w:pStyle w:val="Style14"/>
        <w:widowControl w:val="0"/>
        <w:keepNext w:val="0"/>
        <w:keepLines w:val="0"/>
        <w:shd w:val="clear" w:color="auto" w:fill="auto"/>
        <w:bidi w:val="0"/>
        <w:spacing w:before="0" w:after="240" w:line="277" w:lineRule="exact"/>
        <w:ind w:left="0" w:right="0" w:firstLine="0"/>
      </w:pPr>
      <w:r>
        <w:rPr>
          <w:lang w:val="ru-RU" w:eastAsia="ru-RU" w:bidi="ru-RU"/>
          <w:w w:val="100"/>
          <w:spacing w:val="0"/>
          <w:color w:val="000000"/>
          <w:position w:val="0"/>
        </w:rPr>
        <w:t>Изготовлено в полном объеме 19.02.2021</w:t>
      </w:r>
    </w:p>
    <w:p>
      <w:pPr>
        <w:pStyle w:val="Style14"/>
        <w:widowControl w:val="0"/>
        <w:keepNext w:val="0"/>
        <w:keepLines w:val="0"/>
        <w:shd w:val="clear" w:color="auto" w:fill="auto"/>
        <w:bidi w:val="0"/>
        <w:spacing w:before="0" w:after="243" w:line="277" w:lineRule="exact"/>
        <w:ind w:left="0" w:right="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4"/>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Председателя комиссии:</w:t>
      </w:r>
    </w:p>
    <w:p>
      <w:pPr>
        <w:pStyle w:val="Style14"/>
        <w:numPr>
          <w:ilvl w:val="0"/>
          <w:numId w:val="1"/>
        </w:numPr>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 xml:space="preserve"> Миронов А. Г. - Заместитель руководителя Управления;</w:t>
      </w:r>
    </w:p>
    <w:p>
      <w:pPr>
        <w:pStyle w:val="Style14"/>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Членов комиссии:</w:t>
      </w:r>
    </w:p>
    <w:p>
      <w:pPr>
        <w:pStyle w:val="Style14"/>
        <w:numPr>
          <w:ilvl w:val="0"/>
          <w:numId w:val="1"/>
        </w:numPr>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 xml:space="preserve"> Валиуллин Р. Р. — Начальник отдела Управления;</w:t>
      </w:r>
    </w:p>
    <w:p>
      <w:pPr>
        <w:pStyle w:val="Style14"/>
        <w:numPr>
          <w:ilvl w:val="0"/>
          <w:numId w:val="1"/>
        </w:numPr>
        <w:widowControl w:val="0"/>
        <w:keepNext w:val="0"/>
        <w:keepLines w:val="0"/>
        <w:shd w:val="clear" w:color="auto" w:fill="auto"/>
        <w:bidi w:val="0"/>
        <w:spacing w:before="0" w:after="240"/>
        <w:ind w:left="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4"/>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4"/>
        <w:widowControl w:val="0"/>
        <w:keepNext w:val="0"/>
        <w:keepLines w:val="0"/>
        <w:shd w:val="clear" w:color="auto" w:fill="auto"/>
        <w:bidi w:val="0"/>
        <w:spacing w:before="0" w:after="243" w:line="277" w:lineRule="exact"/>
        <w:ind w:left="0" w:right="0" w:firstLine="70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4"/>
        <w:tabs>
          <w:tab w:leader="none" w:pos="2185" w:val="left"/>
          <w:tab w:leader="none" w:pos="6426" w:val="left"/>
          <w:tab w:leader="none" w:pos="10087" w:val="right"/>
        </w:tabs>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рассмотрев жалобу ООО "ДЕЗСТАНЦИЯ НВ" (ИНН 8603242981 ОГРН: 1208600012576) от 10.02.2021 №251-ж на действия Заказчика — Казенное учреждение Ханты-Мансийского автономного округа - Югры «Нижневартовский противотуберкулезный диспансер», при проведении электронного аукциона предметом, которого является оказание услуг по заключительной</w:t>
        <w:tab/>
        <w:t>дезинфекции домашних очагов</w:t>
        <w:tab/>
        <w:t>туберкулеза (извещение</w:t>
        <w:tab/>
        <w:t>№</w:t>
      </w:r>
    </w:p>
    <w:p>
      <w:pPr>
        <w:pStyle w:val="Style14"/>
        <w:widowControl w:val="0"/>
        <w:keepNext w:val="0"/>
        <w:keepLines w:val="0"/>
        <w:shd w:val="clear" w:color="auto" w:fill="auto"/>
        <w:bidi w:val="0"/>
        <w:spacing w:before="0" w:after="163"/>
        <w:ind w:left="0" w:right="0" w:firstLine="0"/>
      </w:pPr>
      <w:r>
        <w:rPr>
          <w:lang w:val="ru-RU" w:eastAsia="ru-RU" w:bidi="ru-RU"/>
          <w:w w:val="100"/>
          <w:spacing w:val="0"/>
          <w:color w:val="000000"/>
          <w:position w:val="0"/>
        </w:rPr>
        <w:t xml:space="preserve">0387200006221000001)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69" w:line="220" w:lineRule="exact"/>
        <w:ind w:left="0" w:right="0" w:firstLine="0"/>
      </w:pPr>
      <w:r>
        <w:rPr>
          <w:lang w:val="ru-RU" w:eastAsia="ru-RU" w:bidi="ru-RU"/>
          <w:w w:val="100"/>
          <w:spacing w:val="0"/>
          <w:color w:val="000000"/>
          <w:position w:val="0"/>
        </w:rPr>
        <w:t>УСТАНОВИЛА:</w:t>
      </w:r>
    </w:p>
    <w:p>
      <w:pPr>
        <w:pStyle w:val="Style21"/>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1</w:t>
      </w:r>
      <w:r>
        <w:br w:type="page"/>
      </w:r>
    </w:p>
    <w:p>
      <w:pPr>
        <w:pStyle w:val="Style14"/>
        <w:widowControl w:val="0"/>
        <w:keepNext w:val="0"/>
        <w:keepLines w:val="0"/>
        <w:shd w:val="clear" w:color="auto" w:fill="auto"/>
        <w:bidi w:val="0"/>
        <w:spacing w:before="0" w:after="0" w:line="277"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"ДЕЗСТАНЦИЯ НВ" (ИНН 8603242981 ОГРН: 1208600012576) от 10.02.2021 №251-ж на действия Заказчика, при проведении электронного аукциона (извещение № 0387200006221000001).</w:t>
      </w:r>
    </w:p>
    <w:p>
      <w:pPr>
        <w:pStyle w:val="Style14"/>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В доводах жалобы Заявитель указал следующее:</w:t>
      </w:r>
    </w:p>
    <w:p>
      <w:pPr>
        <w:pStyle w:val="Style14"/>
        <w:widowControl w:val="0"/>
        <w:keepNext w:val="0"/>
        <w:keepLines w:val="0"/>
        <w:shd w:val="clear" w:color="auto" w:fill="auto"/>
        <w:bidi w:val="0"/>
        <w:spacing w:before="0" w:after="237" w:line="263" w:lineRule="exact"/>
        <w:ind w:left="20" w:right="20" w:firstLine="700"/>
      </w:pPr>
      <w:r>
        <w:rPr>
          <w:lang w:val="ru-RU" w:eastAsia="ru-RU" w:bidi="ru-RU"/>
          <w:w w:val="100"/>
          <w:spacing w:val="0"/>
          <w:color w:val="000000"/>
          <w:position w:val="0"/>
        </w:rPr>
        <w:t>По мнению Заявителя признание заявки участника (ООО "ДЕЗСТАНЦИЯ НВ") является незаконным и необоснованным.</w:t>
      </w:r>
    </w:p>
    <w:p>
      <w:pPr>
        <w:pStyle w:val="Style3"/>
        <w:widowControl w:val="0"/>
        <w:keepNext w:val="0"/>
        <w:keepLines w:val="0"/>
        <w:shd w:val="clear" w:color="auto" w:fill="auto"/>
        <w:bidi w:val="0"/>
        <w:spacing w:before="0" w:after="0" w:line="266" w:lineRule="exact"/>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Частями 1 -2 статьи 24 Закона о контрактной системе установлено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силу пункта 1 части 1 статьи 31 Закона о контрактной системе при осуществлении закупки заказчик устанавливает следующие единые </w:t>
      </w:r>
      <w:r>
        <w:rPr>
          <w:rStyle w:val="CharStyle16"/>
        </w:rPr>
        <w:t>требования к участникам закупки:</w:t>
      </w:r>
    </w:p>
    <w:p>
      <w:pPr>
        <w:pStyle w:val="Style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1) соответствие требованиям, установленным в соответствии с законодательством Российской Федерации к лицам, </w:t>
      </w:r>
      <w:r>
        <w:rPr>
          <w:rStyle w:val="CharStyle23"/>
          <w:b w:val="0"/>
          <w:bCs w:val="0"/>
        </w:rPr>
        <w:t xml:space="preserve">осуществляющим поставку товара, выполнение работы, оказание услуги, </w:t>
      </w:r>
      <w:r>
        <w:rPr>
          <w:lang w:val="ru-RU" w:eastAsia="ru-RU" w:bidi="ru-RU"/>
          <w:w w:val="100"/>
          <w:spacing w:val="0"/>
          <w:color w:val="000000"/>
          <w:position w:val="0"/>
        </w:rPr>
        <w:t>являющихся объектом закупки.</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соответствии с подпунктом 46 пункта 1 статьи 12 Федерального закона от 04.05.2011 </w:t>
      </w:r>
      <w:r>
        <w:rPr>
          <w:lang w:val="en-US" w:eastAsia="en-US" w:bidi="en-US"/>
          <w:w w:val="100"/>
          <w:spacing w:val="0"/>
          <w:color w:val="000000"/>
          <w:position w:val="0"/>
        </w:rPr>
        <w:t xml:space="preserve">N </w:t>
      </w:r>
      <w:r>
        <w:rPr>
          <w:lang w:val="ru-RU" w:eastAsia="ru-RU" w:bidi="ru-RU"/>
          <w:w w:val="100"/>
          <w:spacing w:val="0"/>
          <w:color w:val="000000"/>
          <w:position w:val="0"/>
        </w:rPr>
        <w:t>99-ФЗ "О лицензировании отдельных видов деятельности" (далее - Закон о лицензировании)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подлежит лицензированию.</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Согласно пункту 10 статьи 2 Федеральный закон от 21.11.2011 </w:t>
      </w:r>
      <w:r>
        <w:rPr>
          <w:lang w:val="en-US" w:eastAsia="en-US" w:bidi="en-US"/>
          <w:w w:val="100"/>
          <w:spacing w:val="0"/>
          <w:color w:val="000000"/>
          <w:position w:val="0"/>
        </w:rPr>
        <w:t xml:space="preserve">N </w:t>
      </w:r>
      <w:r>
        <w:rPr>
          <w:lang w:val="ru-RU" w:eastAsia="ru-RU" w:bidi="ru-RU"/>
          <w:w w:val="100"/>
          <w:spacing w:val="0"/>
          <w:color w:val="000000"/>
          <w:position w:val="0"/>
        </w:rPr>
        <w:t>323-ФЗ "Об основах охраны здоровья граждан в Российской Федерации" медицинская деятельность - это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w:t>
        <w:softHyphen/>
        <w:t>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Порядок лицензирования медицинской деятельности установлен Положением о лицензировании медицинской деятельности Утвержден постановлением Правительства Российской Федерации от 16 апреля 2012 г. </w:t>
      </w:r>
      <w:r>
        <w:rPr>
          <w:lang w:val="en-US" w:eastAsia="en-US" w:bidi="en-US"/>
          <w:w w:val="100"/>
          <w:spacing w:val="0"/>
          <w:color w:val="000000"/>
          <w:position w:val="0"/>
        </w:rPr>
        <w:t xml:space="preserve">N </w:t>
      </w:r>
      <w:r>
        <w:rPr>
          <w:lang w:val="ru-RU" w:eastAsia="ru-RU" w:bidi="ru-RU"/>
          <w:w w:val="100"/>
          <w:spacing w:val="0"/>
          <w:color w:val="000000"/>
          <w:position w:val="0"/>
        </w:rPr>
        <w:t>291.</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Пунктом 3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предусмотрено, что медицинскую деятельность составляют работы (услуги) по перечню согласно приложению, которые выполняются при оказании первичной медико- 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перечень работ (услуг), составляющих медицинскую деятельность, включены также работы (услуги) по дезинфектологии.</w:t>
      </w:r>
    </w:p>
    <w:p>
      <w:pPr>
        <w:pStyle w:val="Style14"/>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Согласно пункту 20 аукционной документации установлено следующее:</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«Вторая часть заявки на участие в электронном аукционе должна содержать следующие документы и информацию:</w:t>
      </w:r>
    </w:p>
    <w:p>
      <w:pPr>
        <w:pStyle w:val="Style24"/>
        <w:widowControl w:val="0"/>
        <w:keepNext w:val="0"/>
        <w:keepLines w:val="0"/>
        <w:shd w:val="clear" w:color="auto" w:fill="auto"/>
        <w:bidi w:val="0"/>
        <w:spacing w:before="0" w:after="0"/>
        <w:ind w:left="20" w:right="0"/>
      </w:pPr>
      <w:r>
        <w:rPr>
          <w:lang w:val="ru-RU" w:eastAsia="ru-RU" w:bidi="ru-RU"/>
          <w:w w:val="100"/>
          <w:color w:val="000000"/>
          <w:position w:val="0"/>
        </w:rPr>
        <w:t>&lt;...&gt;</w:t>
      </w:r>
    </w:p>
    <w:p>
      <w:pPr>
        <w:pStyle w:val="Style14"/>
        <w:tabs>
          <w:tab w:leader="none" w:pos="7076" w:val="right"/>
          <w:tab w:leader="none" w:pos="7368"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а)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w:t>
        <w:tab/>
      </w:r>
      <w:r>
        <w:rPr>
          <w:rStyle w:val="CharStyle16"/>
        </w:rPr>
        <w:t>требуется</w:t>
        <w:tab/>
        <w:t>наличие лицензии на</w:t>
      </w:r>
    </w:p>
    <w:p>
      <w:pPr>
        <w:pStyle w:val="Style3"/>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осуществление медицинской деятельности по дезинфектологии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 соответствии с Федеральным законом от 04 мая 2011 года №99-ФЗ «О лицензировании отдельных видов деятельности».</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14"/>
        <w:numPr>
          <w:ilvl w:val="0"/>
          <w:numId w:val="3"/>
        </w:numPr>
        <w:tabs>
          <w:tab w:leader="none" w:pos="1035"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4"/>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Согласно пункту 1 Технического задания Заказчиком установлено:</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«Выполнение работы по проведению заключительной дезинфекции в домашних очагах туберкулеза на территории города Нижневартовска. Заключительная дезинфекция проводится во всех случаях выбытия больного из очага: при госпитализации, санаторном лечении; перемене места жительства; перед возвращением родильниц из роддома; в случае смерти больного от туберкулеза на дому; перед сносом старых домов, где проживали больные туберкулезом. Перед проведением заключительной дезинфекции, если в очаге есть насекомые, проводить дезинсекционные мероприятия.»</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Таким образом, становится очевидно, что работы непосредственно связаны с медицинской деятельностью.</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Также, Комиссией Управления установлено, что в ходе проведения закупки был получен запрос на разъяснение положений документации об электронном аукционе от 01.02.2021 №РД1, на который был дан исчерпывающий ответ, со ссылкой на Определение Судебной коллегии по экономическим спорам Верховного суда Российской Федерации от 15.01.2018г. №309-КГ17- 12073, согласно которому </w:t>
      </w:r>
      <w:r>
        <w:rPr>
          <w:rStyle w:val="CharStyle16"/>
        </w:rPr>
        <w:t xml:space="preserve">любые юридические лица должны иметь </w:t>
      </w:r>
      <w:r>
        <w:rPr>
          <w:lang w:val="ru-RU" w:eastAsia="ru-RU" w:bidi="ru-RU"/>
          <w:w w:val="100"/>
          <w:spacing w:val="0"/>
          <w:color w:val="000000"/>
          <w:position w:val="0"/>
        </w:rPr>
        <w:t>в своем штате специалистов с необходимым медицинским образованием и лицензию на медицинскую деятельность по "дезинфектологии".</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Согласно Постановлению Правительства РФ от 16.04.2012 </w:t>
      </w:r>
      <w:r>
        <w:rPr>
          <w:lang w:val="en-US" w:eastAsia="en-US" w:bidi="en-US"/>
          <w:w w:val="100"/>
          <w:spacing w:val="0"/>
          <w:color w:val="000000"/>
          <w:position w:val="0"/>
        </w:rPr>
        <w:t xml:space="preserve">N </w:t>
      </w:r>
      <w:r>
        <w:rPr>
          <w:lang w:val="ru-RU" w:eastAsia="ru-RU" w:bidi="ru-RU"/>
          <w:w w:val="100"/>
          <w:spacing w:val="0"/>
          <w:color w:val="000000"/>
          <w:position w:val="0"/>
        </w:rPr>
        <w:t>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работы по дезинфектологии включены в лицензируемый вид деятельности.</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Однако, согласно Письму Минздрава России от 13.05.2014 </w:t>
      </w:r>
      <w:r>
        <w:rPr>
          <w:lang w:val="en-US" w:eastAsia="en-US" w:bidi="en-US"/>
          <w:w w:val="100"/>
          <w:spacing w:val="0"/>
          <w:color w:val="000000"/>
          <w:position w:val="0"/>
        </w:rPr>
        <w:t xml:space="preserve">N </w:t>
      </w:r>
      <w:r>
        <w:rPr>
          <w:lang w:val="ru-RU" w:eastAsia="ru-RU" w:bidi="ru-RU"/>
          <w:w w:val="100"/>
          <w:spacing w:val="0"/>
          <w:color w:val="000000"/>
          <w:position w:val="0"/>
        </w:rPr>
        <w:t>24-1-2036856 &lt;0 необходимости лицензирования оказания услуги по дезинфектологии в случае, если данная услуга оказывается не в рамках оказания медицинской помощи&gt; указано, что данный вид услуги может быть как лицензируемым, так и не лицензируемым в зависимости от специфики места проведения дезинфекционной обработки.</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На основании вышеуказанного, данная закупка проводится Заказчиком в рамках </w:t>
      </w:r>
      <w:r>
        <w:rPr>
          <w:rStyle w:val="CharStyle16"/>
        </w:rPr>
        <w:t>осуществления медицинской деятельности.</w:t>
      </w:r>
    </w:p>
    <w:p>
      <w:pPr>
        <w:pStyle w:val="Style14"/>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Частями 1-4 статьи 69 Закона о контрактной системе установлено следующее:</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Аукционная комиссия рассматривает вторые части заявок на участие в электронном аукционе, направленных в соответствии с частью 19 статьи 68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частью 18 статьи 68 настоящего Федерального закона.</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случае, если в соответствии с частью 3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частью 18 статьи 68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Кроме того,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4"/>
        <w:numPr>
          <w:ilvl w:val="0"/>
          <w:numId w:val="5"/>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w:t>
      </w:r>
    </w:p>
    <w:p>
      <w:pPr>
        <w:pStyle w:val="Style14"/>
        <w:numPr>
          <w:ilvl w:val="0"/>
          <w:numId w:val="7"/>
        </w:numPr>
        <w:tabs>
          <w:tab w:leader="none" w:pos="628"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5"/>
        </w:numPr>
        <w:widowControl w:val="0"/>
        <w:keepNext w:val="0"/>
        <w:keepLines w:val="0"/>
        <w:shd w:val="clear" w:color="auto" w:fill="auto"/>
        <w:bidi w:val="0"/>
        <w:spacing w:before="0" w:after="0"/>
        <w:ind w:left="20" w:right="20" w:firstLine="700"/>
      </w:pPr>
      <w:bookmarkStart w:id="1" w:name="bookmark1"/>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bookmarkEnd w:id="1"/>
    </w:p>
    <w:p>
      <w:pPr>
        <w:pStyle w:val="Style14"/>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протоколу подведения итогов электронного аукциона от 05.02.2021 №0387200006221000001-3, заявка участника (ООО "ДЕЗСТАНЦИЯ НВ") признана не соответствующей по следующим обстоятельствам:</w:t>
      </w:r>
    </w:p>
    <w:p>
      <w:pPr>
        <w:pStyle w:val="Style14"/>
        <w:tabs>
          <w:tab w:leader="none" w:pos="1976" w:val="left"/>
          <w:tab w:leader="none" w:pos="4122" w:val="center"/>
          <w:tab w:leader="none" w:pos="5353" w:val="center"/>
          <w:tab w:leader="none" w:pos="6926" w:val="right"/>
          <w:tab w:leader="none" w:pos="8557" w:val="right"/>
          <w:tab w:leader="none" w:pos="10087" w:val="righ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«на</w:t>
        <w:tab/>
        <w:t>основании</w:t>
        <w:tab/>
        <w:t>п.1</w:t>
        <w:tab/>
        <w:t>ч.б</w:t>
        <w:tab/>
        <w:t>ст.69</w:t>
        <w:tab/>
        <w:t>Закона</w:t>
        <w:tab/>
        <w:t>44-ФЗ</w:t>
      </w:r>
    </w:p>
    <w:p>
      <w:pPr>
        <w:pStyle w:val="Style14"/>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(В аукционной документации Заказчика указано, что вторая часть заявки на участие в электронном аукционе должна содержать следующие документы и информацию: а)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 требуется наличие лицензии на осуществление медицинской деятельности по дезинфектологии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 соответствии с Федеральным законом от 04 мая 2011 года №99-ФЗ «О лицензировании отдельных видов деятельности»". Согласно пункту 1 части 6 статьи 69 Федерального закона РФ № 44-ФЗ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w:t>
      </w:r>
    </w:p>
    <w:p>
      <w:pPr>
        <w:pStyle w:val="Style14"/>
        <w:numPr>
          <w:ilvl w:val="0"/>
          <w:numId w:val="9"/>
        </w:numPr>
        <w:tabs>
          <w:tab w:leader="none" w:pos="628"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Во второй части заявки у ООО "Дезстанция НВ" отсутствует лицензия на осуществление медицинской деятельности по дезинфектологии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вместо этого приложена лицензия посторонней организации, которая, кроме того, вправе осуществлять деятельность только в городе Екатеринбурге. Таким образом ООО "Дезстанция НВ" не соответствует требованиям Заказчика.)».</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Комиссия Управления изучив заявку участника (ООО "ДЕЗСТАНЦИЯ НВ"), установила, что во-вторых частях </w:t>
      </w:r>
      <w:r>
        <w:rPr>
          <w:rStyle w:val="CharStyle16"/>
        </w:rPr>
        <w:t xml:space="preserve">отсутствовала требуемая </w:t>
      </w:r>
      <w:r>
        <w:rPr>
          <w:lang w:val="ru-RU" w:eastAsia="ru-RU" w:bidi="ru-RU"/>
          <w:w w:val="100"/>
          <w:spacing w:val="0"/>
          <w:color w:val="000000"/>
          <w:position w:val="0"/>
        </w:rPr>
        <w:t>лицензия. Участником была приложена лицензия сторонней организации (ООО «Служба дезинфекции», г. Екатеринбург) и уведомление о том, что данным участником, якобы, заключен договор с ООО «Служба дезинфекции» на проведение работ по дезинфекции домашних очагов туберкулеза.</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Соответственно, участник закупки, принимая участие в закупке, должен соответствовать требованиям заказчика, и, соответственно, иметь действующую лицензию по дезинфектологии.</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По завершению закупки, </w:t>
      </w:r>
      <w:r>
        <w:rPr>
          <w:rStyle w:val="CharStyle16"/>
        </w:rPr>
        <w:t xml:space="preserve">при условии, что участник закупки будет являться победителем данной закупки, </w:t>
      </w:r>
      <w:r>
        <w:rPr>
          <w:lang w:val="ru-RU" w:eastAsia="ru-RU" w:bidi="ru-RU"/>
          <w:w w:val="100"/>
          <w:spacing w:val="0"/>
          <w:color w:val="000000"/>
          <w:position w:val="0"/>
        </w:rPr>
        <w:t>он вправе, согласно действующему законодательству РФ заключить договор субподряда со сторонней организацией.</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Кроме того, пунктом 5 статьи 9 Закона о лицензировании установлено, что деятельность, на осуществление которой лицензия предоставлена лицензирующим органом субъекта Российской Федерации, может осуществляться на территориях других субъектов Российской Федерации при условии уведомления лицензиатом лицензирующих органов соответствующих субъектов Российской Федерации в порядке, установленном Правительством Российской Федерации.</w:t>
      </w:r>
    </w:p>
    <w:p>
      <w:pPr>
        <w:pStyle w:val="Style14"/>
        <w:tabs>
          <w:tab w:leader="none" w:pos="3112"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Подпунктом «б» пункта 11 Положения о лицензировании медицинской деятельности установлено следующее:</w:t>
        <w:tab/>
        <w:t>информация, относящаяся к осуществлению медицинской</w:t>
      </w:r>
    </w:p>
    <w:p>
      <w:pPr>
        <w:pStyle w:val="Style14"/>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деятельности, предусмотренная частями 1 и 2 статьи 21 Федерального закона "О лицензировании отдельных видов деятельности", размещается на официальном сайте лицензирующего органа в информационно-телекоммуникационной сети Интернет и (или) на информационных стендах в помещениях лицензирующего органа в течение 10 дней со дня: принятия лицензирующим органом решения о предоставлении лицензии, переоформлении лицензии, приостановлении, возобновлении, прекращении действия лицензии.</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Таким образом, лицензия, выданная лицензирующим органом субъекта РФ, распространяется на тот регион, в котором данный орган находится.</w:t>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вышеизложенного Комиссия управления пришла к выводу, что довод Заявителя является необоснованным.</w:t>
      </w:r>
      <w:r>
        <w:br w:type="page"/>
      </w:r>
    </w:p>
    <w:p>
      <w:pPr>
        <w:pStyle w:val="Style14"/>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Жалоба ООО "ДЕЗСТАНЦИЯ НВ" (ИНН 8603242981 ОГРН: 1208600012576) от 10.02.2021 №251-ж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4"/>
        <w:widowControl w:val="0"/>
        <w:keepNext w:val="0"/>
        <w:keepLines w:val="0"/>
        <w:shd w:val="clear" w:color="auto" w:fill="auto"/>
        <w:bidi w:val="0"/>
        <w:spacing w:before="0" w:after="163"/>
        <w:ind w:left="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9"/>
        <w:widowControl w:val="0"/>
        <w:keepNext/>
        <w:keepLines/>
        <w:shd w:val="clear" w:color="auto" w:fill="auto"/>
        <w:bidi w:val="0"/>
        <w:spacing w:before="0" w:after="158" w:line="220" w:lineRule="exact"/>
        <w:ind w:left="0" w:right="0" w:firstLine="0"/>
      </w:pPr>
      <w:bookmarkStart w:id="2" w:name="bookmark2"/>
      <w:r>
        <w:rPr>
          <w:lang w:val="ru-RU" w:eastAsia="ru-RU" w:bidi="ru-RU"/>
          <w:w w:val="100"/>
          <w:spacing w:val="0"/>
          <w:color w:val="000000"/>
          <w:position w:val="0"/>
        </w:rPr>
        <w:t>РЕШИЛА:</w:t>
      </w:r>
      <w:bookmarkEnd w:id="2"/>
    </w:p>
    <w:p>
      <w:pPr>
        <w:pStyle w:val="Style14"/>
        <w:numPr>
          <w:ilvl w:val="0"/>
          <w:numId w:val="11"/>
        </w:numPr>
        <w:widowControl w:val="0"/>
        <w:keepNext w:val="0"/>
        <w:keepLines w:val="0"/>
        <w:shd w:val="clear" w:color="auto" w:fill="auto"/>
        <w:bidi w:val="0"/>
        <w:spacing w:before="0" w:after="0" w:line="277" w:lineRule="exact"/>
        <w:ind w:left="0" w:right="20" w:firstLine="700"/>
      </w:pPr>
      <w:r>
        <w:rPr>
          <w:lang w:val="ru-RU" w:eastAsia="ru-RU" w:bidi="ru-RU"/>
          <w:w w:val="100"/>
          <w:spacing w:val="0"/>
          <w:color w:val="000000"/>
          <w:position w:val="0"/>
        </w:rPr>
        <w:t xml:space="preserve"> Признать жалобу ООО "ДЕЗСТАНЦИЯ НВ" (ИНН 8603242981 </w:t>
      </w:r>
      <w:r>
        <w:rPr>
          <w:lang w:val="en-US" w:eastAsia="en-US" w:bidi="en-US"/>
          <w:w w:val="100"/>
          <w:spacing w:val="0"/>
          <w:color w:val="000000"/>
          <w:position w:val="0"/>
        </w:rPr>
        <w:t xml:space="preserve">OFPH: </w:t>
      </w:r>
      <w:r>
        <w:rPr>
          <w:lang w:val="ru-RU" w:eastAsia="ru-RU" w:bidi="ru-RU"/>
          <w:w w:val="100"/>
          <w:spacing w:val="0"/>
          <w:color w:val="000000"/>
          <w:position w:val="0"/>
        </w:rPr>
        <w:t>1208600012576) от 10.02.2021 №251-ж на действия Заказчика — Казенное учреждение Ханты-Мансийского автономного округа - Югры «Нижневартовский противотуберкулезный диспансер», при проведении электронного аукциона предметом, которого является оказание услуг по заключительной дезинфекции домашних очагов туберкулеза (извещение № 0387200006221000001) необоснованной.</w:t>
      </w:r>
    </w:p>
    <w:p>
      <w:pPr>
        <w:pStyle w:val="Style14"/>
        <w:numPr>
          <w:ilvl w:val="0"/>
          <w:numId w:val="11"/>
        </w:numPr>
        <w:widowControl w:val="0"/>
        <w:keepNext w:val="0"/>
        <w:keepLines w:val="0"/>
        <w:shd w:val="clear" w:color="auto" w:fill="auto"/>
        <w:bidi w:val="0"/>
        <w:spacing w:before="0" w:after="0" w:line="277" w:lineRule="exact"/>
        <w:ind w:left="0" w:right="0" w:firstLine="700"/>
      </w:pPr>
      <w:r>
        <w:rPr>
          <w:lang w:val="ru-RU" w:eastAsia="ru-RU" w:bidi="ru-RU"/>
          <w:w w:val="100"/>
          <w:spacing w:val="0"/>
          <w:color w:val="000000"/>
          <w:position w:val="0"/>
        </w:rPr>
        <w:t xml:space="preserve"> Обязательно для исполнения предписание не выдавать.</w:t>
      </w:r>
    </w:p>
    <w:p>
      <w:pPr>
        <w:pStyle w:val="Style14"/>
        <w:numPr>
          <w:ilvl w:val="0"/>
          <w:numId w:val="11"/>
        </w:numPr>
        <w:widowControl w:val="0"/>
        <w:keepNext w:val="0"/>
        <w:keepLines w:val="0"/>
        <w:shd w:val="clear" w:color="auto" w:fill="auto"/>
        <w:bidi w:val="0"/>
        <w:spacing w:before="0" w:after="65" w:line="277" w:lineRule="exact"/>
        <w:ind w:left="0" w:right="20" w:firstLine="700"/>
        <w:sectPr>
          <w:footnotePr>
            <w:pos w:val="pageBottom"/>
            <w:numFmt w:val="decimal"/>
            <w:numRestart w:val="continuous"/>
          </w:footnotePr>
          <w:type w:val="continuous"/>
          <w:pgSz w:w="11906" w:h="16838"/>
          <w:pgMar w:top="632" w:left="900" w:right="892" w:bottom="876" w:header="0" w:footer="3" w:gutter="0"/>
          <w:rtlGutter w:val="0"/>
          <w:cols w:space="720"/>
          <w:noEndnote/>
          <w:docGrid w:linePitch="360"/>
        </w:sectPr>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4"/>
        <w:framePr w:w="1778" w:h="2123" w:wrap="none" w:vAnchor="text" w:hAnchor="margin" w:x="8441" w:y="3"/>
        <w:widowControl w:val="0"/>
        <w:keepNext w:val="0"/>
        <w:keepLines w:val="0"/>
        <w:shd w:val="clear" w:color="auto" w:fill="auto"/>
        <w:bidi w:val="0"/>
        <w:jc w:val="left"/>
        <w:spacing w:before="0" w:after="0" w:line="839" w:lineRule="exact"/>
        <w:ind w:left="100" w:right="100" w:firstLine="0"/>
      </w:pPr>
      <w:r>
        <w:rPr>
          <w:rStyle w:val="CharStyle26"/>
          <w:spacing w:val="0"/>
        </w:rPr>
        <w:t xml:space="preserve">Миронов А.Е. Валиуллин </w:t>
      </w:r>
      <w:r>
        <w:rPr>
          <w:rStyle w:val="CharStyle26"/>
          <w:lang w:val="en-US" w:eastAsia="en-US" w:bidi="en-US"/>
          <w:spacing w:val="0"/>
        </w:rPr>
        <w:t xml:space="preserve">P.P. </w:t>
      </w:r>
      <w:r>
        <w:rPr>
          <w:rStyle w:val="CharStyle26"/>
          <w:spacing w:val="0"/>
        </w:rPr>
        <w:t>Бычков И.Т.</w:t>
      </w:r>
    </w:p>
    <w:p>
      <w:pPr>
        <w:pStyle w:val="Style14"/>
        <w:framePr w:w="2667" w:h="214" w:wrap="none" w:vAnchor="text" w:hAnchor="margin" w:x="-44" w:y="129"/>
        <w:widowControl w:val="0"/>
        <w:keepNext w:val="0"/>
        <w:keepLines w:val="0"/>
        <w:shd w:val="clear" w:color="auto" w:fill="auto"/>
        <w:bidi w:val="0"/>
        <w:jc w:val="left"/>
        <w:spacing w:before="0" w:after="0" w:line="210" w:lineRule="exact"/>
        <w:ind w:left="100" w:right="0" w:firstLine="0"/>
      </w:pPr>
      <w:r>
        <w:rPr>
          <w:rStyle w:val="CharStyle26"/>
          <w:spacing w:val="0"/>
        </w:rPr>
        <w:t>Председатель Комиссии</w:t>
      </w:r>
    </w:p>
    <w:p>
      <w:pPr>
        <w:pStyle w:val="Style14"/>
        <w:framePr w:w="1990" w:h="210" w:wrap="none" w:vAnchor="text" w:hAnchor="margin" w:x="-40" w:y="964"/>
        <w:widowControl w:val="0"/>
        <w:keepNext w:val="0"/>
        <w:keepLines w:val="0"/>
        <w:shd w:val="clear" w:color="auto" w:fill="auto"/>
        <w:bidi w:val="0"/>
        <w:jc w:val="left"/>
        <w:spacing w:before="0" w:after="0" w:line="210" w:lineRule="exact"/>
        <w:ind w:left="100" w:right="0" w:firstLine="0"/>
      </w:pPr>
      <w:r>
        <w:rPr>
          <w:rStyle w:val="CharStyle26"/>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0" w:lineRule="exact"/>
      </w:pPr>
    </w:p>
    <w:p>
      <w:pPr>
        <w:widowControl w:val="0"/>
        <w:rPr>
          <w:sz w:val="2"/>
          <w:szCs w:val="2"/>
        </w:rPr>
      </w:pPr>
    </w:p>
    <w:sectPr>
      <w:type w:val="continuous"/>
      <w:pgSz w:w="11906" w:h="16838"/>
      <w:pgMar w:top="588" w:left="875" w:right="875" w:bottom="5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2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2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6"/>
    </w:rPr>
  </w:style>
  <w:style w:type="character" w:customStyle="1" w:styleId="CharStyle6">
    <w:name w:val="Основной текст (4) Exact"/>
    <w:basedOn w:val="DefaultParagraphFont"/>
    <w:link w:val="Style5"/>
    <w:rPr>
      <w:b/>
      <w:bCs/>
      <w:i w:val="0"/>
      <w:iCs w:val="0"/>
      <w:u w:val="none"/>
      <w:strike w:val="0"/>
      <w:smallCaps w:val="0"/>
      <w:rFonts w:ascii="Times New Roman" w:eastAsia="Times New Roman" w:hAnsi="Times New Roman" w:cs="Times New Roman"/>
      <w:spacing w:val="9"/>
    </w:rPr>
  </w:style>
  <w:style w:type="character" w:customStyle="1" w:styleId="CharStyle8">
    <w:name w:val="Основной текст (5) Exact"/>
    <w:basedOn w:val="DefaultParagraphFont"/>
    <w:link w:val="Style7"/>
    <w:rPr>
      <w:b w:val="0"/>
      <w:bCs w:val="0"/>
      <w:i w:val="0"/>
      <w:iCs w:val="0"/>
      <w:u w:val="none"/>
      <w:strike w:val="0"/>
      <w:smallCaps w:val="0"/>
      <w:sz w:val="16"/>
      <w:szCs w:val="16"/>
      <w:rFonts w:ascii="Times New Roman" w:eastAsia="Times New Roman" w:hAnsi="Times New Roman" w:cs="Times New Roman"/>
      <w:spacing w:val="8"/>
    </w:rPr>
  </w:style>
  <w:style w:type="character" w:customStyle="1" w:styleId="CharStyle9">
    <w:name w:val="Основной текст (5) Exact"/>
    <w:basedOn w:val="CharStyle8"/>
    <w:rPr>
      <w:lang w:val="en-US" w:eastAsia="en-US" w:bidi="en-US"/>
      <w:u w:val="single"/>
      <w:w w:val="100"/>
      <w:color w:val="000000"/>
      <w:position w:val="0"/>
    </w:rPr>
  </w:style>
  <w:style w:type="character" w:customStyle="1" w:styleId="CharStyle11">
    <w:name w:val="Основной текст (6) Exact"/>
    <w:basedOn w:val="DefaultParagraphFont"/>
    <w:link w:val="Style10"/>
    <w:rPr>
      <w:b w:val="0"/>
      <w:bCs w:val="0"/>
      <w:i w:val="0"/>
      <w:iCs w:val="0"/>
      <w:u w:val="none"/>
      <w:strike w:val="0"/>
      <w:smallCaps w:val="0"/>
      <w:sz w:val="26"/>
      <w:szCs w:val="26"/>
      <w:rFonts w:ascii="Candara" w:eastAsia="Candara" w:hAnsi="Candara" w:cs="Candara"/>
      <w:spacing w:val="1"/>
    </w:rPr>
  </w:style>
  <w:style w:type="character" w:customStyle="1" w:styleId="CharStyle12">
    <w:name w:val="Основной текст (6) Exact"/>
    <w:basedOn w:val="CharStyle11"/>
    <w:rPr>
      <w:lang w:val="ru-RU" w:eastAsia="ru-RU" w:bidi="ru-RU"/>
      <w:u w:val="single"/>
      <w:w w:val="100"/>
      <w:color w:val="000000"/>
      <w:position w:val="0"/>
    </w:rPr>
  </w:style>
  <w:style w:type="character" w:customStyle="1" w:styleId="CharStyle13">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 Полужирный"/>
    <w:basedOn w:val="CharStyle15"/>
    <w:rPr>
      <w:lang w:val="ru-RU" w:eastAsia="ru-RU" w:bidi="ru-RU"/>
      <w:b/>
      <w:bCs/>
      <w:w w:val="100"/>
      <w:spacing w:val="0"/>
      <w:color w:val="000000"/>
      <w:position w:val="0"/>
    </w:rPr>
  </w:style>
  <w:style w:type="character" w:customStyle="1" w:styleId="CharStyle17">
    <w:name w:val="Основной текст"/>
    <w:basedOn w:val="CharStyle15"/>
    <w:rPr>
      <w:lang w:val="en-US" w:eastAsia="en-US" w:bidi="en-US"/>
      <w:u w:val="single"/>
      <w:w w:val="100"/>
      <w:spacing w:val="0"/>
      <w:color w:val="000000"/>
      <w:position w:val="0"/>
    </w:rPr>
  </w:style>
  <w:style w:type="character" w:customStyle="1" w:styleId="CharStyle18">
    <w:name w:val="Основной текст + 10,5 pt"/>
    <w:basedOn w:val="CharStyle15"/>
    <w:rPr>
      <w:lang w:val="ru-RU" w:eastAsia="ru-RU" w:bidi="ru-RU"/>
      <w:sz w:val="21"/>
      <w:szCs w:val="21"/>
      <w:w w:val="100"/>
      <w:spacing w:val="0"/>
      <w:color w:val="000000"/>
      <w:position w:val="0"/>
    </w:rPr>
  </w:style>
  <w:style w:type="character" w:customStyle="1" w:styleId="CharStyle20">
    <w:name w:val="Заголовок №1_"/>
    <w:basedOn w:val="DefaultParagraphFont"/>
    <w:link w:val="Style19"/>
    <w:rPr>
      <w:b/>
      <w:bCs/>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3)_"/>
    <w:basedOn w:val="DefaultParagraphFont"/>
    <w:link w:val="Style21"/>
    <w:rPr>
      <w:b w:val="0"/>
      <w:bCs w:val="0"/>
      <w:i w:val="0"/>
      <w:iCs w:val="0"/>
      <w:u w:val="none"/>
      <w:strike w:val="0"/>
      <w:smallCaps w:val="0"/>
      <w:sz w:val="22"/>
      <w:szCs w:val="22"/>
      <w:rFonts w:ascii="Lucida Sans Unicode" w:eastAsia="Lucida Sans Unicode" w:hAnsi="Lucida Sans Unicode" w:cs="Lucida Sans Unicode"/>
    </w:rPr>
  </w:style>
  <w:style w:type="character" w:customStyle="1" w:styleId="CharStyle23">
    <w:name w:val="Основной текст (2) + Не полужирный"/>
    <w:basedOn w:val="CharStyle13"/>
    <w:rPr>
      <w:lang w:val="ru-RU" w:eastAsia="ru-RU" w:bidi="ru-RU"/>
      <w:b/>
      <w:bCs/>
      <w:w w:val="100"/>
      <w:spacing w:val="0"/>
      <w:color w:val="000000"/>
      <w:position w:val="0"/>
    </w:rPr>
  </w:style>
  <w:style w:type="character" w:customStyle="1" w:styleId="CharStyle25">
    <w:name w:val="Основной текст (7)_"/>
    <w:basedOn w:val="DefaultParagraphFont"/>
    <w:link w:val="Style24"/>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7"/>
    </w:rPr>
  </w:style>
  <w:style w:type="paragraph" w:customStyle="1" w:styleId="Style3">
    <w:name w:val="Основной текст (2)"/>
    <w:basedOn w:val="Normal"/>
    <w:link w:val="CharStyle13"/>
    <w:pPr>
      <w:widowControl w:val="0"/>
      <w:shd w:val="clear" w:color="auto" w:fill="FFFFFF"/>
      <w:jc w:val="both"/>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9"/>
    </w:rPr>
  </w:style>
  <w:style w:type="paragraph" w:customStyle="1" w:styleId="Style7">
    <w:name w:val="Основной текст (5)"/>
    <w:basedOn w:val="Normal"/>
    <w:link w:val="CharStyle8"/>
    <w:pPr>
      <w:widowControl w:val="0"/>
      <w:shd w:val="clear" w:color="auto" w:fill="FFFFFF"/>
      <w:jc w:val="center"/>
      <w:spacing w:before="60" w:after="240" w:line="230" w:lineRule="exact"/>
    </w:pPr>
    <w:rPr>
      <w:b w:val="0"/>
      <w:bCs w:val="0"/>
      <w:i w:val="0"/>
      <w:iCs w:val="0"/>
      <w:u w:val="none"/>
      <w:strike w:val="0"/>
      <w:smallCaps w:val="0"/>
      <w:sz w:val="16"/>
      <w:szCs w:val="16"/>
      <w:rFonts w:ascii="Times New Roman" w:eastAsia="Times New Roman" w:hAnsi="Times New Roman" w:cs="Times New Roman"/>
      <w:spacing w:val="8"/>
    </w:rPr>
  </w:style>
  <w:style w:type="paragraph" w:customStyle="1" w:styleId="Style10">
    <w:name w:val="Основной текст (6)"/>
    <w:basedOn w:val="Normal"/>
    <w:link w:val="CharStyle11"/>
    <w:pPr>
      <w:widowControl w:val="0"/>
      <w:shd w:val="clear" w:color="auto" w:fill="FFFFFF"/>
      <w:jc w:val="center"/>
      <w:spacing w:before="240" w:line="0" w:lineRule="exact"/>
    </w:pPr>
    <w:rPr>
      <w:b w:val="0"/>
      <w:bCs w:val="0"/>
      <w:i w:val="0"/>
      <w:iCs w:val="0"/>
      <w:u w:val="none"/>
      <w:strike w:val="0"/>
      <w:smallCaps w:val="0"/>
      <w:sz w:val="26"/>
      <w:szCs w:val="26"/>
      <w:rFonts w:ascii="Candara" w:eastAsia="Candara" w:hAnsi="Candara" w:cs="Candara"/>
      <w:spacing w:val="1"/>
    </w:rPr>
  </w:style>
  <w:style w:type="paragraph" w:customStyle="1" w:styleId="Style14">
    <w:name w:val="Основной текст"/>
    <w:basedOn w:val="Normal"/>
    <w:link w:val="CharStyle15"/>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center"/>
      <w:outlineLvl w:val="0"/>
      <w:spacing w:before="240" w:after="3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3)"/>
    <w:basedOn w:val="Normal"/>
    <w:link w:val="CharStyle22"/>
    <w:pPr>
      <w:widowControl w:val="0"/>
      <w:shd w:val="clear" w:color="auto" w:fill="FFFFFF"/>
      <w:jc w:val="center"/>
      <w:spacing w:before="120" w:line="0" w:lineRule="exact"/>
    </w:pPr>
    <w:rPr>
      <w:b w:val="0"/>
      <w:bCs w:val="0"/>
      <w:i w:val="0"/>
      <w:iCs w:val="0"/>
      <w:u w:val="none"/>
      <w:strike w:val="0"/>
      <w:smallCaps w:val="0"/>
      <w:sz w:val="22"/>
      <w:szCs w:val="22"/>
      <w:rFonts w:ascii="Lucida Sans Unicode" w:eastAsia="Lucida Sans Unicode" w:hAnsi="Lucida Sans Unicode" w:cs="Lucida Sans Unicode"/>
    </w:rPr>
  </w:style>
  <w:style w:type="paragraph" w:customStyle="1" w:styleId="Style24">
    <w:name w:val="Основной текст (7)"/>
    <w:basedOn w:val="Normal"/>
    <w:link w:val="CharStyle25"/>
    <w:pPr>
      <w:widowControl w:val="0"/>
      <w:shd w:val="clear" w:color="auto" w:fill="FFFFFF"/>
      <w:jc w:val="both"/>
      <w:spacing w:line="274" w:lineRule="exact"/>
      <w:ind w:firstLine="700"/>
    </w:pPr>
    <w:rPr>
      <w:b w:val="0"/>
      <w:bCs w:val="0"/>
      <w:i w:val="0"/>
      <w:iCs w:val="0"/>
      <w:u w:val="none"/>
      <w:strike w:val="0"/>
      <w:smallCaps w:val="0"/>
      <w:sz w:val="23"/>
      <w:szCs w:val="23"/>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