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346"/>
        <w:ind w:left="1160" w:right="1340" w:firstLine="0"/>
      </w:pPr>
      <w:r>
        <w:rPr>
          <w:lang w:val="ru-RU" w:eastAsia="ru-RU" w:bidi="ru-RU"/>
          <w:w w:val="100"/>
          <w:spacing w:val="0"/>
          <w:color w:val="000000"/>
          <w:position w:val="0"/>
        </w:rPr>
        <w:t>ГУ-Московское региональное отделение фонда социального страхования Российской Федерации</w:t>
      </w:r>
    </w:p>
    <w:p>
      <w:pPr>
        <w:pStyle w:val="Style3"/>
        <w:widowControl w:val="0"/>
        <w:keepNext w:val="0"/>
        <w:keepLines w:val="0"/>
        <w:shd w:val="clear" w:color="auto" w:fill="auto"/>
        <w:bidi w:val="0"/>
        <w:spacing w:before="0" w:after="352" w:line="260" w:lineRule="exact"/>
        <w:ind w:left="1160" w:right="0" w:firstLine="0"/>
      </w:pPr>
      <w:r>
        <w:rPr>
          <w:lang w:val="ru-RU" w:eastAsia="ru-RU" w:bidi="ru-RU"/>
          <w:w w:val="100"/>
          <w:spacing w:val="0"/>
          <w:color w:val="000000"/>
          <w:position w:val="0"/>
        </w:rPr>
        <w:t>Страстной бул., д. 7/1, г. Москва, 127006</w:t>
      </w:r>
    </w:p>
    <w:p>
      <w:pPr>
        <w:pStyle w:val="Style3"/>
        <w:widowControl w:val="0"/>
        <w:keepNext w:val="0"/>
        <w:keepLines w:val="0"/>
        <w:shd w:val="clear" w:color="auto" w:fill="auto"/>
        <w:bidi w:val="0"/>
        <w:spacing w:before="0" w:after="308" w:line="260" w:lineRule="exact"/>
        <w:ind w:left="1160" w:right="0" w:firstLine="0"/>
      </w:pPr>
      <w:r>
        <w:rPr>
          <w:lang w:val="ru-RU" w:eastAsia="ru-RU" w:bidi="ru-RU"/>
          <w:w w:val="100"/>
          <w:spacing w:val="0"/>
          <w:color w:val="000000"/>
          <w:position w:val="0"/>
        </w:rPr>
        <w:t>ИП Аникин П.В.</w:t>
      </w:r>
    </w:p>
    <w:p>
      <w:pPr>
        <w:pStyle w:val="Style3"/>
        <w:widowControl w:val="0"/>
        <w:keepNext w:val="0"/>
        <w:keepLines w:val="0"/>
        <w:shd w:val="clear" w:color="auto" w:fill="auto"/>
        <w:bidi w:val="0"/>
        <w:jc w:val="left"/>
        <w:spacing w:before="0" w:after="349" w:line="322" w:lineRule="exact"/>
        <w:ind w:left="1160" w:right="40" w:firstLine="0"/>
      </w:pPr>
      <w:r>
        <w:rPr>
          <w:lang w:val="ru-RU" w:eastAsia="ru-RU" w:bidi="ru-RU"/>
          <w:w w:val="100"/>
          <w:spacing w:val="0"/>
          <w:color w:val="000000"/>
          <w:position w:val="0"/>
        </w:rPr>
        <w:t>ул. Академика Волгина, д. 31, корп. 1, кв. 65, г. Москва, 117437</w:t>
      </w:r>
    </w:p>
    <w:p>
      <w:pPr>
        <w:pStyle w:val="Style3"/>
        <w:widowControl w:val="0"/>
        <w:keepNext w:val="0"/>
        <w:keepLines w:val="0"/>
        <w:shd w:val="clear" w:color="auto" w:fill="auto"/>
        <w:bidi w:val="0"/>
        <w:spacing w:before="0" w:after="303" w:line="260" w:lineRule="exact"/>
        <w:ind w:left="1160" w:right="0" w:firstLine="0"/>
      </w:pPr>
      <w:r>
        <w:rPr>
          <w:lang w:val="ru-RU" w:eastAsia="ru-RU" w:bidi="ru-RU"/>
          <w:w w:val="100"/>
          <w:spacing w:val="0"/>
          <w:color w:val="000000"/>
          <w:position w:val="0"/>
        </w:rPr>
        <w:t>АО «Сбербанк-АСТ»</w:t>
      </w:r>
    </w:p>
    <w:p>
      <w:pPr>
        <w:pStyle w:val="Style3"/>
        <w:widowControl w:val="0"/>
        <w:keepNext w:val="0"/>
        <w:keepLines w:val="0"/>
        <w:shd w:val="clear" w:color="auto" w:fill="auto"/>
        <w:bidi w:val="0"/>
        <w:jc w:val="left"/>
        <w:spacing w:before="0" w:after="840" w:line="322" w:lineRule="exact"/>
        <w:ind w:left="5320" w:right="600" w:firstLine="0"/>
      </w:pPr>
      <w:r>
        <w:rPr>
          <w:lang w:val="ru-RU" w:eastAsia="ru-RU" w:bidi="ru-RU"/>
          <w:w w:val="100"/>
          <w:spacing w:val="0"/>
          <w:color w:val="000000"/>
          <w:position w:val="0"/>
        </w:rPr>
        <w:t>Ул. Большой Саввинский пер., д. 12, стр. 9, г. Москва, 119435</w:t>
      </w:r>
    </w:p>
    <w:p>
      <w:pPr>
        <w:pStyle w:val="Style5"/>
        <w:tabs>
          <w:tab w:leader="none" w:pos="9014" w:val="right"/>
          <w:tab w:leader="none" w:pos="10066" w:val="right"/>
        </w:tabs>
        <w:widowControl w:val="0"/>
        <w:keepNext w:val="0"/>
        <w:keepLines w:val="0"/>
        <w:shd w:val="clear" w:color="auto" w:fill="auto"/>
        <w:bidi w:val="0"/>
        <w:jc w:val="left"/>
        <w:spacing w:before="0" w:after="0"/>
        <w:ind w:left="0" w:right="40"/>
      </w:pPr>
      <w:r>
        <w:rPr>
          <w:lang w:val="ru-RU" w:eastAsia="ru-RU" w:bidi="ru-RU"/>
          <w:w w:val="100"/>
          <w:spacing w:val="0"/>
          <w:color w:val="000000"/>
          <w:position w:val="0"/>
        </w:rPr>
        <w:t>РЕШЕНИЕ по делу № 077/06/106-2366/2021 нарушении законодательства о контрактной системе 16.02.2021</w:t>
        <w:tab/>
        <w:t>г.</w:t>
        <w:tab/>
        <w:t>Москва</w:t>
      </w:r>
    </w:p>
    <w:p>
      <w:pPr>
        <w:pStyle w:val="Style3"/>
        <w:widowControl w:val="0"/>
        <w:keepNext w:val="0"/>
        <w:keepLines w:val="0"/>
        <w:shd w:val="clear" w:color="auto" w:fill="auto"/>
        <w:bidi w:val="0"/>
        <w:spacing w:before="0" w:after="0" w:line="322" w:lineRule="exact"/>
        <w:ind w:left="0" w:right="40" w:firstLine="74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3"/>
        <w:widowControl w:val="0"/>
        <w:keepNext w:val="0"/>
        <w:keepLines w:val="0"/>
        <w:shd w:val="clear" w:color="auto" w:fill="auto"/>
        <w:bidi w:val="0"/>
        <w:spacing w:before="0" w:after="0" w:line="322" w:lineRule="exact"/>
        <w:ind w:left="0" w:right="40" w:firstLine="740"/>
      </w:pPr>
      <w:r>
        <w:rPr>
          <w:lang w:val="ru-RU" w:eastAsia="ru-RU" w:bidi="ru-RU"/>
          <w:w w:val="100"/>
          <w:spacing w:val="0"/>
          <w:color w:val="000000"/>
          <w:position w:val="0"/>
        </w:rPr>
        <w:t>Заместителя председателя Комиссии — заместителя начальника отдела обжалования государственных закупок Д.С. Грешневой,</w:t>
      </w:r>
    </w:p>
    <w:p>
      <w:pPr>
        <w:pStyle w:val="Style3"/>
        <w:widowControl w:val="0"/>
        <w:keepNext w:val="0"/>
        <w:keepLines w:val="0"/>
        <w:shd w:val="clear" w:color="auto" w:fill="auto"/>
        <w:bidi w:val="0"/>
        <w:spacing w:before="0" w:after="0" w:line="322" w:lineRule="exact"/>
        <w:ind w:left="0" w:right="0" w:firstLine="740"/>
      </w:pPr>
      <w:r>
        <w:rPr>
          <w:lang w:val="ru-RU" w:eastAsia="ru-RU" w:bidi="ru-RU"/>
          <w:w w:val="100"/>
          <w:spacing w:val="0"/>
          <w:color w:val="000000"/>
          <w:position w:val="0"/>
        </w:rPr>
        <w:t>Членов Комиссии:</w:t>
      </w:r>
    </w:p>
    <w:p>
      <w:pPr>
        <w:pStyle w:val="Style3"/>
        <w:widowControl w:val="0"/>
        <w:keepNext w:val="0"/>
        <w:keepLines w:val="0"/>
        <w:shd w:val="clear" w:color="auto" w:fill="auto"/>
        <w:bidi w:val="0"/>
        <w:spacing w:before="0" w:after="0" w:line="322" w:lineRule="exact"/>
        <w:ind w:left="0" w:right="40" w:firstLine="740"/>
      </w:pPr>
      <w:r>
        <w:rPr>
          <w:lang w:val="ru-RU" w:eastAsia="ru-RU" w:bidi="ru-RU"/>
          <w:w w:val="100"/>
          <w:spacing w:val="0"/>
          <w:color w:val="000000"/>
          <w:position w:val="0"/>
        </w:rPr>
        <w:t>Специалиста-эксперта отдела обжалования государственных закупок П.А. Ступченко,</w:t>
      </w:r>
    </w:p>
    <w:p>
      <w:pPr>
        <w:pStyle w:val="Style3"/>
        <w:widowControl w:val="0"/>
        <w:keepNext w:val="0"/>
        <w:keepLines w:val="0"/>
        <w:shd w:val="clear" w:color="auto" w:fill="auto"/>
        <w:bidi w:val="0"/>
        <w:spacing w:before="0" w:after="0" w:line="322" w:lineRule="exact"/>
        <w:ind w:left="0" w:right="40" w:firstLine="740"/>
      </w:pPr>
      <w:r>
        <w:rPr>
          <w:lang w:val="ru-RU" w:eastAsia="ru-RU" w:bidi="ru-RU"/>
          <w:w w:val="100"/>
          <w:spacing w:val="0"/>
          <w:color w:val="000000"/>
          <w:position w:val="0"/>
        </w:rPr>
        <w:t>Специалиста первого разряда отдела обжалования государственных закупок А.А. Матюшенко,</w:t>
      </w:r>
    </w:p>
    <w:p>
      <w:pPr>
        <w:pStyle w:val="Style3"/>
        <w:widowControl w:val="0"/>
        <w:keepNext w:val="0"/>
        <w:keepLines w:val="0"/>
        <w:shd w:val="clear" w:color="auto" w:fill="auto"/>
        <w:bidi w:val="0"/>
        <w:jc w:val="left"/>
        <w:spacing w:before="0" w:after="0" w:line="322" w:lineRule="exact"/>
        <w:ind w:left="0" w:right="40" w:firstLine="74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№92- 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 xml:space="preserve">2019-nCoV., </w:t>
      </w:r>
      <w:r>
        <w:rPr>
          <w:lang w:val="ru-RU" w:eastAsia="ru-RU" w:bidi="ru-RU"/>
          <w:w w:val="100"/>
          <w:spacing w:val="0"/>
          <w:color w:val="000000"/>
          <w:position w:val="0"/>
        </w:rPr>
        <w:t>представители ГУ-Московское региональное отделение фонда социального страхования Российской Федерации: С.Ф, Назаров (дов. № б/н от 11.02.2021), В.П. Никанорова (дов. № б/н от 11.02.2021) участвовали посредством конференц-связи,</w:t>
      </w:r>
    </w:p>
    <w:p>
      <w:pPr>
        <w:pStyle w:val="Style3"/>
        <w:widowControl w:val="0"/>
        <w:keepNext w:val="0"/>
        <w:keepLines w:val="0"/>
        <w:shd w:val="clear" w:color="auto" w:fill="auto"/>
        <w:bidi w:val="0"/>
        <w:spacing w:before="0" w:after="356" w:line="322" w:lineRule="exact"/>
        <w:ind w:left="0" w:right="40" w:firstLine="740"/>
      </w:pPr>
      <w:r>
        <w:rPr>
          <w:lang w:val="ru-RU" w:eastAsia="ru-RU" w:bidi="ru-RU"/>
          <w:w w:val="100"/>
          <w:spacing w:val="0"/>
          <w:color w:val="000000"/>
          <w:position w:val="0"/>
        </w:rPr>
        <w:t>представители ИП Аникин П.В., о времени и порядке заседания Комиссии уведомлены письмом Московского УФАС России исх. №ЕИ/7341/21 от 10.02.2021, в рассмотрении жалобы не участвовали,</w:t>
      </w:r>
    </w:p>
    <w:p>
      <w:pPr>
        <w:pStyle w:val="Style7"/>
        <w:widowControl w:val="0"/>
        <w:keepNext w:val="0"/>
        <w:keepLines w:val="0"/>
        <w:shd w:val="clear" w:color="auto" w:fill="auto"/>
        <w:bidi w:val="0"/>
        <w:jc w:val="left"/>
        <w:spacing w:before="0" w:after="0" w:line="240" w:lineRule="auto"/>
        <w:ind w:left="0" w:right="0" w:firstLine="0"/>
        <w:sectPr>
          <w:footnotePr>
            <w:pos w:val="pageBottom"/>
            <w:numFmt w:val="decimal"/>
            <w:numRestart w:val="continuous"/>
          </w:footnotePr>
          <w:type w:val="continuous"/>
          <w:pgSz w:w="11906" w:h="16838"/>
          <w:pgMar w:top="1127" w:left="848" w:right="843" w:bottom="676" w:header="0" w:footer="3" w:gutter="0"/>
          <w:rtlGutter w:val="0"/>
          <w:cols w:space="720"/>
          <w:noEndnote/>
          <w:docGrid w:linePitch="360"/>
        </w:sectPr>
      </w:pPr>
      <w:r>
        <w:rPr>
          <w:w w:val="100"/>
          <w:spacing w:val="0"/>
          <w:color w:val="000000"/>
          <w:position w:val="0"/>
        </w:rPr>
        <w:t>001849542698</w:t>
      </w:r>
    </w:p>
    <w:p>
      <w:pPr>
        <w:pStyle w:val="Style3"/>
        <w:widowControl w:val="0"/>
        <w:keepNext w:val="0"/>
        <w:keepLines w:val="0"/>
        <w:shd w:val="clear" w:color="auto" w:fill="auto"/>
        <w:bidi w:val="0"/>
        <w:spacing w:before="0" w:after="409" w:line="322" w:lineRule="exact"/>
        <w:ind w:left="20" w:right="20" w:firstLine="720"/>
      </w:pPr>
      <w:r>
        <w:rPr>
          <w:lang w:val="ru-RU" w:eastAsia="ru-RU" w:bidi="ru-RU"/>
          <w:w w:val="100"/>
          <w:spacing w:val="0"/>
          <w:color w:val="000000"/>
          <w:position w:val="0"/>
        </w:rPr>
        <w:t>рассмотрев жалобу ИП Аникин П.В. (далее — Заявитель) на действия ГУ-Московское региональное отделение фонда социального страхования Российской Федерации (далее — Заказчик) при проведении электронного аукциона на право заключения государственного контракта на оказание услуг по дезинфекции помещений Государственного учреждения - Московского регионального отделения Фонда социального страхования Российской Федерации и его филиалов в 2021 году (Закупка № 0273100000421000003) (далее — 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w:t>
      </w:r>
      <w:r>
        <w:rPr>
          <w:rStyle w:val="CharStyle9"/>
        </w:rPr>
        <w:t>ици</w:t>
      </w:r>
      <w:r>
        <w:rPr>
          <w:lang w:val="ru-RU" w:eastAsia="ru-RU" w:bidi="ru-RU"/>
          <w:w w:val="100"/>
          <w:spacing w:val="0"/>
          <w:color w:val="000000"/>
          <w:position w:val="0"/>
        </w:rPr>
        <w:t>пальных нужд, утвержденным приказом ФАС России от 19.11.2014 № 727/14 (далее - Административный регламент),</w:t>
      </w:r>
    </w:p>
    <w:p>
      <w:pPr>
        <w:pStyle w:val="Style10"/>
        <w:widowControl w:val="0"/>
        <w:keepNext/>
        <w:keepLines/>
        <w:shd w:val="clear" w:color="auto" w:fill="auto"/>
        <w:bidi w:val="0"/>
        <w:spacing w:before="0" w:after="68" w:line="260" w:lineRule="exact"/>
        <w:ind w:left="20" w:right="0" w:firstLine="0"/>
      </w:pPr>
      <w:bookmarkStart w:id="0" w:name="bookmark0"/>
      <w:r>
        <w:rPr>
          <w:lang w:val="ru-RU" w:eastAsia="ru-RU" w:bidi="ru-RU"/>
          <w:w w:val="100"/>
          <w:spacing w:val="0"/>
          <w:color w:val="000000"/>
          <w:position w:val="0"/>
        </w:rPr>
        <w:t>УСТАНОВИЛА:</w:t>
      </w:r>
      <w:bookmarkEnd w:id="0"/>
    </w:p>
    <w:p>
      <w:pPr>
        <w:pStyle w:val="Style3"/>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Аукциона.</w:t>
      </w:r>
    </w:p>
    <w:p>
      <w:pPr>
        <w:pStyle w:val="Style3"/>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На заседании Комиссии Управления Заказчиком представлены запрашиваемые письмом Московского УФАС России от 10.02.2021 №ЕИ/7341/21 документы и сведения.</w:t>
      </w:r>
    </w:p>
    <w:p>
      <w:pPr>
        <w:pStyle w:val="Style3"/>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3"/>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Согласно доводам жалобы, Заказчиком в п. 21 и 32 Информационной карты аукционной документации неправомерно установлено требование о наличии у участника закупки действующей лицензии на осуществление медицинской деятельности по дезинфектологии и о предоставлении такой лицензии в составе второй части заявки.</w:t>
      </w:r>
    </w:p>
    <w:p>
      <w:pPr>
        <w:pStyle w:val="Style3"/>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Согласно п.1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ст.33 Закона о контрактной системе.</w:t>
      </w:r>
    </w:p>
    <w:p>
      <w:pPr>
        <w:pStyle w:val="Style3"/>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В силу ч.3 ст.64 Закона о контрактной системе документация об электронном аукционе наряду с предусмотренной ч. 1 ст. 64 Закона о контрактной системе информацией должна содержать требования к участникам такого аукциона, установленные в соответствии с ч. 1, ч. 1.1, 2 и 2.1 (при наличии таких требований) ст. 31 Закона о контрактной системе.</w:t>
      </w:r>
    </w:p>
    <w:p>
      <w:pPr>
        <w:pStyle w:val="Style3"/>
        <w:tabs>
          <w:tab w:leader="none" w:pos="3959" w:val="left"/>
          <w:tab w:leader="none" w:pos="4554" w:val="left"/>
        </w:tabs>
        <w:widowControl w:val="0"/>
        <w:keepNext w:val="0"/>
        <w:keepLines w:val="0"/>
        <w:shd w:val="clear" w:color="auto" w:fill="auto"/>
        <w:bidi w:val="0"/>
        <w:spacing w:before="0" w:after="0" w:line="322" w:lineRule="exact"/>
        <w:ind w:left="0" w:right="0" w:firstLine="700"/>
      </w:pPr>
      <w:r>
        <w:rPr>
          <w:lang w:val="ru-RU" w:eastAsia="ru-RU" w:bidi="ru-RU"/>
          <w:w w:val="100"/>
          <w:spacing w:val="0"/>
          <w:color w:val="000000"/>
          <w:position w:val="0"/>
        </w:rPr>
        <w:t>В соответствии с п.1</w:t>
        <w:tab/>
        <w:t>ч.1</w:t>
        <w:tab/>
        <w:t>ст.31 Закона о контрактной системе при</w:t>
      </w:r>
    </w:p>
    <w:p>
      <w:pPr>
        <w:pStyle w:val="Style3"/>
        <w:widowControl w:val="0"/>
        <w:keepNext w:val="0"/>
        <w:keepLines w:val="0"/>
        <w:shd w:val="clear" w:color="auto" w:fill="auto"/>
        <w:bidi w:val="0"/>
        <w:spacing w:before="0" w:after="0" w:line="322" w:lineRule="exact"/>
        <w:ind w:left="0" w:right="20" w:firstLine="0"/>
      </w:pPr>
      <w:r>
        <w:rPr>
          <w:lang w:val="ru-RU" w:eastAsia="ru-RU" w:bidi="ru-RU"/>
          <w:w w:val="100"/>
          <w:spacing w:val="0"/>
          <w:color w:val="000000"/>
          <w:position w:val="0"/>
        </w:rPr>
        <w:t>осуществлении закупки заказчик устанавливает единое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3"/>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Согласно ч.6 ст.31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pPr>
        <w:pStyle w:val="Style3"/>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В соответствии с п.2 ч.5 ст. 66 Закона о контрактной системе вторая часть заявки на участие в электронном аукционе должна содержать документы, подтверждающие соответствие участника такого аукциона требованиям, установленным п.1 ч.1 ст.31 Закона о контрактной системе, или копии этих документов, а также декларация о соответствии участника такого аукциона требованиям, установленным п.3-9 ч.1 ст.31 Закона о контрактной системе (указанная декларация предоставляется с использованием программно-аппаратных средств электронной площадки).</w:t>
      </w:r>
    </w:p>
    <w:p>
      <w:pPr>
        <w:pStyle w:val="Style3"/>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Согласно ч.6 ст.66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ч.3 или 3.1 и 5 ст.66 Закона о контрактной системе документов и информации, не допускается.</w:t>
      </w:r>
    </w:p>
    <w:p>
      <w:pPr>
        <w:pStyle w:val="Style3"/>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Комиссией Управления установлено, что согласно Извещению о проведении электронного аукциона объектом закупки является оказание услуг по дезинфекции помещений Государственного учреждения - Московского регионального отделения Фонда социального страхования Российской Федерации и его филиалов в 2021 году.</w:t>
      </w:r>
    </w:p>
    <w:p>
      <w:pPr>
        <w:pStyle w:val="Style3"/>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Перечень видов деятельности, на которые требуются лицензии, содержится в ст. 12 Федерального закона от 04.05.2011 № 99-ФЗ «О лицензировании отдельных видов деятельности» (далее — Закон о лицензировании), согласно п.46 ч.1 Закона о лицензировании лицензированию подлежит, в частности, медицинская деятельность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w:t>
      </w:r>
    </w:p>
    <w:p>
      <w:pPr>
        <w:pStyle w:val="Style3"/>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В соответствии с частью 2 статьи 12 Закона о лицензировании положениями о лицензировании конкретных видов деятельности устанавливаются исчерпывающие перечни выполняемых работ, оказываемых услуг, составляющих лицензируемый вид деятельности, в случае, если указанные перечни не установлены федеральными законами.</w:t>
      </w:r>
    </w:p>
    <w:p>
      <w:pPr>
        <w:pStyle w:val="Style3"/>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Согласно приложению к Положению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утвержденному Постановлением Правительства Российской Федерации от 16.04.2012 № 291 (далее - Положение о лицензировании медицинской деятельности), в перечень работ (услуг), составляющих медицинскую деятельность, включена дезинфектология.</w:t>
      </w:r>
    </w:p>
    <w:p>
      <w:pPr>
        <w:pStyle w:val="Style3"/>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При этом пунктом 3 Положения о лицензировании медицинской деятельности определено, что медицинскую деятельность составляют работы (услуги) по перечню согласно приложению, которые выполняются при оказании первичной медико</w:t>
        <w:softHyphen/>
        <w:t>санитарной, специализированной (в том числе высокотехнологичной), скорой (в том числе скорой специализированной), паллиативной медицинской помощи, оказании медицинской помощи при санаторно-курортном лечении, при проведении медицинских экспертиз, медицинских осмотров, медицинских освидетельствований и санитарно-противоэпидемических (профилактических) мероприятий в рамках оказания медицинской помощи, при трансплантации (пересадке) органов и (или) тканей, обращении донорской крови и (или) ее компонентов в медицинских целях. Требования к организации и выполнению указанных работ (услуг) в целях лицензирования устанавливаются Министерством здравоохранения Российской Федерации.</w:t>
      </w:r>
    </w:p>
    <w:p>
      <w:pPr>
        <w:pStyle w:val="Style3"/>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 пунктах 3 - 5 статьи 2 Федерального закона от 21.11.2011 № 323-ФЗ «Об основах охраны здоровья граждан в Российской Федерации» медицинская помощь определена как комплекс мероприятий, направленных на поддержание и (или) восстановление здоровья и включающих в себя предоставление медицинских услуг; под медицинской услугой понимается медицинское вмешательство или комплекс медицинских вмешательств, направленных на профилактику, диагностику и лечение заболеваний, медицинскую реабилитацию и имеющих самостоятельное законченное значение; медицинским вмешательством являются выполняемые медицинским работником и иным работником, имеющим право на осуществление медицинской деятельности, по отношению к пациенту, затрагивающие физическое или психическое состояние человека и имеющие профилактическую, исследовательскую, диагностическую, лечебную, реабилитационную направленность виды медицинских обследований и (или) медицинских манипуляций, а также искусственное прерывание беременности.</w:t>
      </w:r>
    </w:p>
    <w:p>
      <w:pPr>
        <w:pStyle w:val="Style3"/>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Исходя из Требований к организации и выполнению работ (услуг) при оказании первичной медико-санитарной, специализированной (в том числе высокотехнологичной), скорой (в том числе скорой специализированной), паллиативной медицинской помощи, оказании медицинской помощи при санаторно</w:t>
        <w:softHyphen/>
        <w:t>курортном лечении, при проведении медицинских экспертиз, медицинских осмотров, медицинских освидетельствований и санитарно-противоэпидемических (профилактических) мероприятий в рамках оказания медицинской помощи, при трансплантации (пересадке) органов и (или) тканей, обращении донорской крови и (или) ее компонентов в медицинских целях, утвержденных приказом Минздрава России от 11.03.2013 № 121н, работы (услуги) по дезинфектологии организуются и выполняются при оказании первичной, в том числе доврачебной, врачебной и специализированной, медико-санитарной помощи, специализированной, в том числе высокотехнологичной, медицинской помощи, при оказании медицинской помо</w:t>
      </w:r>
      <w:r>
        <w:rPr>
          <w:rStyle w:val="CharStyle9"/>
        </w:rPr>
        <w:t>щи</w:t>
      </w:r>
      <w:r>
        <w:rPr>
          <w:lang w:val="ru-RU" w:eastAsia="ru-RU" w:bidi="ru-RU"/>
          <w:w w:val="100"/>
          <w:spacing w:val="0"/>
          <w:color w:val="000000"/>
          <w:position w:val="0"/>
        </w:rPr>
        <w:t xml:space="preserve"> при санаторно-курортном лечении.</w:t>
      </w:r>
    </w:p>
    <w:p>
      <w:pPr>
        <w:pStyle w:val="Style3"/>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 xml:space="preserve">Буквальное толкование приведенных выше норм в их системной взаимосвязи позволяет признать, что лицензированию в качестве медицинской деятельности подлежат работы (услуги) по дезинфектологии, выполняемые в рамках оказания </w:t>
      </w:r>
      <w:r>
        <w:rPr>
          <w:rStyle w:val="CharStyle9"/>
        </w:rPr>
        <w:t>медицинской помощи</w:t>
      </w:r>
      <w:r>
        <w:rPr>
          <w:lang w:val="ru-RU" w:eastAsia="ru-RU" w:bidi="ru-RU"/>
          <w:w w:val="100"/>
          <w:spacing w:val="0"/>
          <w:color w:val="000000"/>
          <w:position w:val="0"/>
        </w:rPr>
        <w:t>.</w:t>
      </w:r>
    </w:p>
    <w:p>
      <w:pPr>
        <w:pStyle w:val="Style3"/>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Также из письма ФАС России от 24.01.2018 № АК/4353/18 следует, что деятельность по проведению дезинфекционных, дезинсекционных и дератизационных работ относится к виду деятельности «Деятельность по обслуживанию зданий и территорий» (подкласс 81.29.11 класс 81 раздела № «Деятельность административная и сопутствующие дополнительные услуги») и не является лицензируемым видом деятельности.</w:t>
      </w:r>
    </w:p>
    <w:p>
      <w:pPr>
        <w:pStyle w:val="Style3"/>
        <w:tabs>
          <w:tab w:leader="none" w:pos="2292" w:val="left"/>
        </w:tabs>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Одновременно с этим позиция ФАС России, изложенная в письме от 26.11.2018</w:t>
        <w:tab/>
        <w:t>№АЦ/96117/18, основана на понятии дезинфекционных,</w:t>
      </w:r>
    </w:p>
    <w:p>
      <w:pPr>
        <w:pStyle w:val="Style3"/>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дезинсекционных, дератизационных мероприятий в зависимости от сферы проведения таких работ в рамках медицинской деятельности или вне рамках оказания медицинской помощи, что является ключевым фактором в определении необходимости наличия у исполнителя лицензии на медицинскую деятельность при осуществлении дезинфекционных работ. В названном письме ФАС России отмечает, что при осуществлении дезинфекционной деятельности в целях обеспечения дезинфекции, дезинсекции, дератизации, не предусматривающих проведения мероприятий в рамках оказания медицинской помощи, и не являющихся медицинскими услугами, необходимость получения лицензии, предусмотренной Законом о лицензировании и постановлением Правительства Российской Федерации от 16 апреля 2012 № 291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отсутствует.</w:t>
      </w:r>
    </w:p>
    <w:p>
      <w:pPr>
        <w:pStyle w:val="Style3"/>
        <w:tabs>
          <w:tab w:leader="none" w:pos="2292" w:val="left"/>
          <w:tab w:leader="none" w:pos="6036" w:val="left"/>
          <w:tab w:leader="none" w:pos="7916" w:val="right"/>
          <w:tab w:leader="none" w:pos="10202" w:val="right"/>
        </w:tabs>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Аналогичная позиция нашла свое отражение в письмах Министерства здравоохранения</w:t>
        <w:tab/>
        <w:t>Российской Федерации от</w:t>
        <w:tab/>
        <w:t>27.02.2018</w:t>
        <w:tab/>
        <w:t>№</w:t>
        <w:tab/>
        <w:t>27-3/3008543-81,</w:t>
      </w:r>
    </w:p>
    <w:p>
      <w:pPr>
        <w:pStyle w:val="Style3"/>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от 26.03.2018 № 27-3/10/2-1825.</w:t>
      </w:r>
    </w:p>
    <w:p>
      <w:pPr>
        <w:pStyle w:val="Style3"/>
        <w:tabs>
          <w:tab w:leader="none" w:pos="2325" w:val="left"/>
          <w:tab w:leader="none" w:pos="6112" w:val="left"/>
          <w:tab w:leader="none" w:pos="10202" w:val="right"/>
        </w:tabs>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Министерство здравоохранения Российской Федерации в своем письме от 14.10.2014 № 24-1/3060814-2592 «О необходимости лицензирования оказания услуги по дезинфектологии» указывает на то, что дезинфекционные, дезинсекционные,</w:t>
        <w:tab/>
        <w:t>дератизационные работы (в</w:t>
        <w:tab/>
        <w:t>комплексе</w:t>
        <w:tab/>
        <w:t>или в отдельности)</w:t>
      </w:r>
    </w:p>
    <w:p>
      <w:pPr>
        <w:pStyle w:val="Style3"/>
        <w:tabs>
          <w:tab w:leader="none" w:pos="2292" w:val="left"/>
        </w:tabs>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не выполняются по отношению к пациенту, не являются медицинским вмешательством,</w:t>
        <w:tab/>
        <w:t>и, соответственно, не являются медицинской услугой</w:t>
      </w:r>
    </w:p>
    <w:p>
      <w:pPr>
        <w:pStyle w:val="Style3"/>
        <w:tabs>
          <w:tab w:leader="none" w:pos="2292" w:val="left"/>
          <w:tab w:leader="none" w:pos="6036" w:val="left"/>
          <w:tab w:leader="none" w:pos="10202" w:val="right"/>
        </w:tabs>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и медицинской</w:t>
        <w:tab/>
        <w:t>помощью, но, с другой</w:t>
        <w:tab/>
        <w:t>стороны,</w:t>
        <w:tab/>
        <w:t>«являясь санитарно</w:t>
        <w:softHyphen/>
      </w:r>
    </w:p>
    <w:p>
      <w:pPr>
        <w:pStyle w:val="Style3"/>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противоэпидемическими (профилактическими) мероприятиями, включены в понятие «медицинская деятельность». Таким образом, выполнение работ (оказание услуг) по дезинфектологии, а именно мероприятия по дезинфекции, дезинсекции и дератизации, может рассматриваться как деятельность в области охраны здоровья граждан и медицинская деятельность в понятиях Федерального закона № 323-ФЗ или подкласс 85.1 «Деятельность в области здравоохранения» в терминологии ОКВЭД и в соответствии с Законом о лицензировании является лицензируемым видом медицинской деятельности».</w:t>
      </w:r>
    </w:p>
    <w:p>
      <w:pPr>
        <w:pStyle w:val="Style3"/>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Согласно позиции Министерства здравоохранения Российской Федерации, изложенной в письме от 26.03.2018 №27-3/10/2-1875, в целях осуществления работ (услуг) в сфере дезинфекции, дезинсекции, дератизации, не предусматривающих проведение мероприятий в рамках оказания медицинской помощи и не являющимися медицинскими услугами, необходимость получения лицензии на осуществление медицинской деятельности отсутствует.</w:t>
      </w:r>
    </w:p>
    <w:p>
      <w:pPr>
        <w:pStyle w:val="Style3"/>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Таким образом, в рассматриваемом случае на организацию не может быть возложена обязанность по получению лицензии на осуществление медицинской деятельности по оказанию услуг по дезинфекции (в том числе дератизационных и дезинсекционных работ), если она оказывает услуги по дезинфекции не в рамках оказания медицинской помо</w:t>
      </w:r>
      <w:r>
        <w:rPr>
          <w:rStyle w:val="CharStyle9"/>
        </w:rPr>
        <w:t>щи</w:t>
      </w:r>
      <w:r>
        <w:rPr>
          <w:lang w:val="ru-RU" w:eastAsia="ru-RU" w:bidi="ru-RU"/>
          <w:w w:val="100"/>
          <w:spacing w:val="0"/>
          <w:color w:val="000000"/>
          <w:position w:val="0"/>
        </w:rPr>
        <w:t>.</w:t>
      </w:r>
    </w:p>
    <w:p>
      <w:pPr>
        <w:pStyle w:val="Style3"/>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В соответствии с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3"/>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На заседании Комиссии Управления представитель Заказчика не представил доказательств, что услуги, включенные в объект закупки, оказываются в рамках оказания медицинской помощи, а также не представил обоснования правомерности установления требования к участникам закупки о наличии лицензии и о предоставлении ее в составе второй части заявки.</w:t>
      </w:r>
    </w:p>
    <w:p>
      <w:pPr>
        <w:pStyle w:val="Style3"/>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На основании вышеизложенного, Комиссия Управления приходит к выводу об обоснованности доводов жалобы и нарушении Заказчиком ч.6 ст.31, ч.6 ст.66 Закона о контрактной системе.</w:t>
      </w:r>
    </w:p>
    <w:p>
      <w:pPr>
        <w:pStyle w:val="Style3"/>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Также Комиссия Управления отмечает, что согласно протоколу рассмотрения заявок на участие в электронном аукционе от 09.02.2021 №0273100000421000003-1 на участие в аукционе подано 13 заявок, при этом все заявки были допущены до участия в аукционе, вместе с этим, исходя из информации указанной в протоколе проведения электронного аукциона от 10.02.2021 №0273100000421000003-2, в аукционе приняло участие 8 участников закупки, снижение по результатам проведения аукциона составило 91.45%, однако, согласно протоколу подведения итогов электронного аукциона от 10.02.2021 №0273100000421000003-3, 4 заявки были признаны несоответствующими на основании непредоставления оспариваемой лицензии.</w:t>
      </w:r>
    </w:p>
    <w:p>
      <w:pPr>
        <w:pStyle w:val="Style3"/>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Исследовав представленные материалы, руководствуясь административным регламентом, утвержденным приказом ФАС России от 19.11.2014 № 727/14, Законом о контрактной системе, Комиссия Управления</w:t>
      </w:r>
    </w:p>
    <w:p>
      <w:pPr>
        <w:pStyle w:val="Style10"/>
        <w:widowControl w:val="0"/>
        <w:keepNext/>
        <w:keepLines/>
        <w:shd w:val="clear" w:color="auto" w:fill="auto"/>
        <w:bidi w:val="0"/>
        <w:spacing w:before="0" w:after="303" w:line="260" w:lineRule="exact"/>
        <w:ind w:left="80" w:right="0" w:firstLine="0"/>
      </w:pPr>
      <w:bookmarkStart w:id="1" w:name="bookmark1"/>
      <w:r>
        <w:rPr>
          <w:lang w:val="ru-RU" w:eastAsia="ru-RU" w:bidi="ru-RU"/>
          <w:w w:val="100"/>
          <w:spacing w:val="0"/>
          <w:color w:val="000000"/>
          <w:position w:val="0"/>
        </w:rPr>
        <w:t>РЕШИЛА:</w:t>
      </w:r>
      <w:bookmarkEnd w:id="1"/>
    </w:p>
    <w:p>
      <w:pPr>
        <w:pStyle w:val="Style3"/>
        <w:numPr>
          <w:ilvl w:val="0"/>
          <w:numId w:val="1"/>
        </w:numPr>
        <w:tabs>
          <w:tab w:leader="none" w:pos="1325" w:val="left"/>
          <w:tab w:leader="none" w:pos="10124" w:val="right"/>
        </w:tabs>
        <w:widowControl w:val="0"/>
        <w:keepNext w:val="0"/>
        <w:keepLines w:val="0"/>
        <w:shd w:val="clear" w:color="auto" w:fill="auto"/>
        <w:bidi w:val="0"/>
        <w:spacing w:before="0" w:after="0" w:line="322" w:lineRule="exact"/>
        <w:ind w:left="600" w:right="0" w:firstLine="0"/>
      </w:pPr>
      <w:r>
        <w:rPr>
          <w:lang w:val="ru-RU" w:eastAsia="ru-RU" w:bidi="ru-RU"/>
          <w:w w:val="100"/>
          <w:spacing w:val="0"/>
          <w:color w:val="000000"/>
          <w:position w:val="0"/>
        </w:rPr>
        <w:t>Признать жалобу ИП Аникин П.В. на действия</w:t>
        <w:tab/>
        <w:t>ГУ-Московское</w:t>
      </w:r>
    </w:p>
    <w:p>
      <w:pPr>
        <w:pStyle w:val="Style3"/>
        <w:widowControl w:val="0"/>
        <w:keepNext w:val="0"/>
        <w:keepLines w:val="0"/>
        <w:shd w:val="clear" w:color="auto" w:fill="auto"/>
        <w:bidi w:val="0"/>
        <w:spacing w:before="0" w:after="0" w:line="322" w:lineRule="exact"/>
        <w:ind w:left="0" w:right="20" w:firstLine="0"/>
      </w:pPr>
      <w:r>
        <w:rPr>
          <w:lang w:val="ru-RU" w:eastAsia="ru-RU" w:bidi="ru-RU"/>
          <w:w w:val="100"/>
          <w:spacing w:val="0"/>
          <w:color w:val="000000"/>
          <w:position w:val="0"/>
        </w:rPr>
        <w:t>региональное отделение фонда социального страхования Российской Федерации обоснованной.</w:t>
      </w:r>
    </w:p>
    <w:p>
      <w:pPr>
        <w:pStyle w:val="Style3"/>
        <w:numPr>
          <w:ilvl w:val="0"/>
          <w:numId w:val="1"/>
        </w:numPr>
        <w:tabs>
          <w:tab w:leader="none" w:pos="1325" w:val="left"/>
          <w:tab w:leader="none" w:pos="10124" w:val="right"/>
        </w:tabs>
        <w:widowControl w:val="0"/>
        <w:keepNext w:val="0"/>
        <w:keepLines w:val="0"/>
        <w:shd w:val="clear" w:color="auto" w:fill="auto"/>
        <w:bidi w:val="0"/>
        <w:spacing w:before="0" w:after="0" w:line="322" w:lineRule="exact"/>
        <w:ind w:left="600" w:right="0" w:firstLine="0"/>
      </w:pPr>
      <w:r>
        <w:rPr>
          <w:lang w:val="ru-RU" w:eastAsia="ru-RU" w:bidi="ru-RU"/>
          <w:w w:val="100"/>
          <w:spacing w:val="0"/>
          <w:color w:val="000000"/>
          <w:position w:val="0"/>
        </w:rPr>
        <w:t>Признать в действиях Заказчика нарушение ч.6 ст.31,</w:t>
        <w:tab/>
        <w:t>ч.6 ст.66 Закона</w:t>
      </w:r>
    </w:p>
    <w:p>
      <w:pPr>
        <w:pStyle w:val="Style3"/>
        <w:widowControl w:val="0"/>
        <w:keepNext w:val="0"/>
        <w:keepLines w:val="0"/>
        <w:shd w:val="clear" w:color="auto" w:fill="auto"/>
        <w:bidi w:val="0"/>
        <w:spacing w:before="0" w:after="0" w:line="322" w:lineRule="exact"/>
        <w:ind w:left="0" w:right="0" w:firstLine="0"/>
      </w:pPr>
      <w:r>
        <w:rPr>
          <w:lang w:val="ru-RU" w:eastAsia="ru-RU" w:bidi="ru-RU"/>
          <w:w w:val="100"/>
          <w:spacing w:val="0"/>
          <w:color w:val="000000"/>
          <w:position w:val="0"/>
        </w:rPr>
        <w:t>о контрактной системе.</w:t>
      </w:r>
    </w:p>
    <w:p>
      <w:pPr>
        <w:pStyle w:val="Style3"/>
        <w:numPr>
          <w:ilvl w:val="0"/>
          <w:numId w:val="1"/>
        </w:numPr>
        <w:tabs>
          <w:tab w:leader="none" w:pos="1325" w:val="left"/>
        </w:tabs>
        <w:widowControl w:val="0"/>
        <w:keepNext w:val="0"/>
        <w:keepLines w:val="0"/>
        <w:shd w:val="clear" w:color="auto" w:fill="auto"/>
        <w:bidi w:val="0"/>
        <w:jc w:val="left"/>
        <w:spacing w:before="0" w:after="296"/>
        <w:ind w:left="0" w:right="20" w:firstLine="580"/>
      </w:pPr>
      <w:r>
        <w:rPr>
          <w:lang w:val="ru-RU" w:eastAsia="ru-RU" w:bidi="ru-RU"/>
          <w:w w:val="100"/>
          <w:spacing w:val="0"/>
          <w:color w:val="000000"/>
          <w:position w:val="0"/>
        </w:rPr>
        <w:t>Выдать Заказчику обязательное для исполнения предписание об устранении нарушений законодательства о контрактной системе.</w:t>
      </w:r>
    </w:p>
    <w:p>
      <w:pPr>
        <w:pStyle w:val="Style3"/>
        <w:widowControl w:val="0"/>
        <w:keepNext w:val="0"/>
        <w:keepLines w:val="0"/>
        <w:shd w:val="clear" w:color="auto" w:fill="auto"/>
        <w:bidi w:val="0"/>
        <w:spacing w:before="0" w:after="283" w:line="322" w:lineRule="exact"/>
        <w:ind w:left="0" w:right="20" w:firstLine="42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3"/>
        <w:tabs>
          <w:tab w:leader="none" w:pos="8731" w:val="right"/>
          <w:tab w:leader="none" w:pos="10124" w:val="right"/>
        </w:tabs>
        <w:widowControl w:val="0"/>
        <w:keepNext w:val="0"/>
        <w:keepLines w:val="0"/>
        <w:shd w:val="clear" w:color="auto" w:fill="auto"/>
        <w:bidi w:val="0"/>
        <w:spacing w:before="0" w:after="0" w:line="643" w:lineRule="exact"/>
        <w:ind w:left="0" w:right="0" w:firstLine="0"/>
      </w:pPr>
      <w:r>
        <w:rPr>
          <w:lang w:val="ru-RU" w:eastAsia="ru-RU" w:bidi="ru-RU"/>
          <w:w w:val="100"/>
          <w:spacing w:val="0"/>
          <w:color w:val="000000"/>
          <w:position w:val="0"/>
        </w:rPr>
        <w:t>Заместителя председателя Комиссии</w:t>
        <w:tab/>
        <w:t>Д.С.</w:t>
        <w:tab/>
        <w:t>Грешнева</w:t>
      </w:r>
    </w:p>
    <w:p>
      <w:pPr>
        <w:pStyle w:val="Style3"/>
        <w:tabs>
          <w:tab w:leader="none" w:pos="10124" w:val="right"/>
          <w:tab w:leader="none" w:pos="10042" w:val="right"/>
        </w:tabs>
        <w:widowControl w:val="0"/>
        <w:keepNext w:val="0"/>
        <w:keepLines w:val="0"/>
        <w:shd w:val="clear" w:color="auto" w:fill="auto"/>
        <w:bidi w:val="0"/>
        <w:spacing w:before="0" w:after="0" w:line="643" w:lineRule="exact"/>
        <w:ind w:left="0" w:right="0" w:firstLine="0"/>
      </w:pPr>
      <w:r>
        <w:rPr>
          <w:lang w:val="ru-RU" w:eastAsia="ru-RU" w:bidi="ru-RU"/>
          <w:w w:val="100"/>
          <w:spacing w:val="0"/>
          <w:color w:val="000000"/>
          <w:position w:val="0"/>
        </w:rPr>
        <w:t>Члены Комиссии</w:t>
        <w:tab/>
        <w:t>П.А.</w:t>
        <w:tab/>
        <w:t>Ступченко</w:t>
      </w:r>
    </w:p>
    <w:p>
      <w:pPr>
        <w:pStyle w:val="Style3"/>
        <w:widowControl w:val="0"/>
        <w:keepNext w:val="0"/>
        <w:keepLines w:val="0"/>
        <w:shd w:val="clear" w:color="auto" w:fill="auto"/>
        <w:bidi w:val="0"/>
        <w:jc w:val="right"/>
        <w:spacing w:before="0" w:after="5035" w:line="643" w:lineRule="exact"/>
        <w:ind w:left="0" w:right="160" w:firstLine="0"/>
      </w:pPr>
      <w:r>
        <w:rPr>
          <w:lang w:val="ru-RU" w:eastAsia="ru-RU" w:bidi="ru-RU"/>
          <w:w w:val="100"/>
          <w:spacing w:val="0"/>
          <w:color w:val="000000"/>
          <w:position w:val="0"/>
        </w:rPr>
        <w:t>А.А. Матюшенко</w:t>
      </w:r>
    </w:p>
    <w:p>
      <w:pPr>
        <w:pStyle w:val="Style12"/>
        <w:widowControl w:val="0"/>
        <w:keepNext w:val="0"/>
        <w:keepLines w:val="0"/>
        <w:shd w:val="clear" w:color="auto" w:fill="auto"/>
        <w:bidi w:val="0"/>
        <w:spacing w:before="0" w:after="0" w:line="200" w:lineRule="exact"/>
        <w:ind w:left="0" w:right="0" w:firstLine="0"/>
      </w:pPr>
      <w:r>
        <w:rPr>
          <w:lang w:val="ru-RU" w:eastAsia="ru-RU" w:bidi="ru-RU"/>
          <w:w w:val="100"/>
          <w:spacing w:val="0"/>
          <w:color w:val="000000"/>
          <w:position w:val="0"/>
        </w:rPr>
        <w:t xml:space="preserve">Исп. Матюшенко А.А., </w:t>
      </w:r>
      <w:r>
        <w:fldChar w:fldCharType="begin"/>
      </w:r>
      <w:r>
        <w:rPr>
          <w:color w:val="000000"/>
        </w:rPr>
        <w:instrText> HYPERLINK "mailto:to77-matiushenko@fas.gov.ru" </w:instrText>
      </w:r>
      <w:r>
        <w:fldChar w:fldCharType="separate"/>
      </w:r>
      <w:r>
        <w:rPr>
          <w:rStyle w:val="Hyperlink"/>
          <w:w w:val="100"/>
          <w:spacing w:val="0"/>
          <w:position w:val="0"/>
        </w:rPr>
        <w:t>to77-matiushenko@fas.gov.ru</w:t>
      </w:r>
      <w:r>
        <w:fldChar w:fldCharType="end"/>
      </w:r>
    </w:p>
    <w:sectPr>
      <w:type w:val="continuous"/>
      <w:pgSz w:w="11906" w:h="16838"/>
      <w:pgMar w:top="1526" w:left="848" w:right="842" w:bottom="183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6">
    <w:name w:val="Основной текст (2)_"/>
    <w:basedOn w:val="DefaultParagraphFont"/>
    <w:link w:val="Style5"/>
    <w:rPr>
      <w:b/>
      <w:bCs/>
      <w:i w:val="0"/>
      <w:iCs w:val="0"/>
      <w:u w:val="none"/>
      <w:strike w:val="0"/>
      <w:smallCaps w:val="0"/>
      <w:sz w:val="26"/>
      <w:szCs w:val="26"/>
      <w:rFonts w:ascii="Times New Roman" w:eastAsia="Times New Roman" w:hAnsi="Times New Roman" w:cs="Times New Roman"/>
    </w:rPr>
  </w:style>
  <w:style w:type="character" w:customStyle="1" w:styleId="CharStyle8">
    <w:name w:val="Штрих-код (2)_"/>
    <w:basedOn w:val="DefaultParagraphFont"/>
    <w:link w:val="Style7"/>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9">
    <w:name w:val="Основной текст"/>
    <w:basedOn w:val="CharStyle4"/>
    <w:rPr>
      <w:lang w:val="ru-RU" w:eastAsia="ru-RU" w:bidi="ru-RU"/>
      <w:u w:val="single"/>
      <w:w w:val="100"/>
      <w:spacing w:val="0"/>
      <w:color w:val="000000"/>
      <w:position w:val="0"/>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3)_"/>
    <w:basedOn w:val="DefaultParagraphFont"/>
    <w:link w:val="Style12"/>
    <w:rPr>
      <w:lang w:val="en-US" w:eastAsia="en-US" w:bidi="en-US"/>
      <w:b/>
      <w:bCs/>
      <w:i w:val="0"/>
      <w:iCs w:val="0"/>
      <w:u w:val="none"/>
      <w:strike w:val="0"/>
      <w:smallCaps w:val="0"/>
      <w:sz w:val="20"/>
      <w:szCs w:val="20"/>
      <w:rFonts w:ascii="Times New Roman" w:eastAsia="Times New Roman" w:hAnsi="Times New Roman" w:cs="Times New Roman"/>
    </w:rPr>
  </w:style>
  <w:style w:type="paragraph" w:customStyle="1" w:styleId="Style3">
    <w:name w:val="Основной текст"/>
    <w:basedOn w:val="Normal"/>
    <w:link w:val="CharStyle4"/>
    <w:pPr>
      <w:widowControl w:val="0"/>
      <w:shd w:val="clear" w:color="auto" w:fill="FFFFFF"/>
      <w:jc w:val="both"/>
      <w:spacing w:after="300" w:line="317"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spacing w:before="840" w:line="322" w:lineRule="exact"/>
      <w:ind w:firstLine="4380"/>
    </w:pPr>
    <w:rPr>
      <w:b/>
      <w:bCs/>
      <w:i w:val="0"/>
      <w:iCs w:val="0"/>
      <w:u w:val="none"/>
      <w:strike w:val="0"/>
      <w:smallCaps w:val="0"/>
      <w:sz w:val="26"/>
      <w:szCs w:val="26"/>
      <w:rFonts w:ascii="Times New Roman" w:eastAsia="Times New Roman" w:hAnsi="Times New Roman" w:cs="Times New Roman"/>
    </w:rPr>
  </w:style>
  <w:style w:type="paragraph" w:customStyle="1" w:styleId="Style7">
    <w:name w:val="Штрих-код (2)"/>
    <w:basedOn w:val="Normal"/>
    <w:link w:val="CharStyle8"/>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center"/>
      <w:outlineLvl w:val="0"/>
      <w:spacing w:before="360" w:after="18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jc w:val="both"/>
      <w:spacing w:before="4680" w:line="0" w:lineRule="exact"/>
    </w:pPr>
    <w:rPr>
      <w:lang w:val="en-US" w:eastAsia="en-US" w:bidi="en-US"/>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