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0"/>
        <w:widowControl w:val="0"/>
        <w:keepNext w:val="0"/>
        <w:keepLines w:val="0"/>
        <w:shd w:val="clear" w:color="auto" w:fill="auto"/>
        <w:bidi w:val="0"/>
        <w:jc w:val="left"/>
        <w:spacing w:before="0" w:after="274" w:line="260" w:lineRule="exact"/>
        <w:ind w:left="5320" w:right="0" w:firstLine="0"/>
      </w:pPr>
      <w:r>
        <w:rPr>
          <w:lang w:val="ru-RU" w:eastAsia="ru-RU" w:bidi="ru-RU"/>
          <w:w w:val="100"/>
          <w:spacing w:val="0"/>
          <w:color w:val="000000"/>
          <w:position w:val="0"/>
        </w:rPr>
        <w:t>ГБУЗ «ГКБ № 15 ДЗМ»</w:t>
      </w:r>
    </w:p>
    <w:p>
      <w:pPr>
        <w:pStyle w:val="Style10"/>
        <w:widowControl w:val="0"/>
        <w:keepNext w:val="0"/>
        <w:keepLines w:val="0"/>
        <w:shd w:val="clear" w:color="auto" w:fill="auto"/>
        <w:bidi w:val="0"/>
        <w:jc w:val="left"/>
        <w:spacing w:before="0" w:after="319" w:line="283" w:lineRule="exact"/>
        <w:ind w:left="5320" w:right="140" w:firstLine="0"/>
      </w:pPr>
      <w:r>
        <w:rPr>
          <w:lang w:val="ru-RU" w:eastAsia="ru-RU" w:bidi="ru-RU"/>
          <w:w w:val="100"/>
          <w:spacing w:val="0"/>
          <w:color w:val="000000"/>
          <w:position w:val="0"/>
        </w:rPr>
        <w:t>ул. Вешняковская, д. 23, г. Москва, 111539</w:t>
      </w:r>
    </w:p>
    <w:p>
      <w:pPr>
        <w:pStyle w:val="Style10"/>
        <w:widowControl w:val="0"/>
        <w:keepNext w:val="0"/>
        <w:keepLines w:val="0"/>
        <w:shd w:val="clear" w:color="auto" w:fill="auto"/>
        <w:bidi w:val="0"/>
        <w:jc w:val="left"/>
        <w:spacing w:before="0" w:after="222" w:line="260" w:lineRule="exact"/>
        <w:ind w:left="5320" w:right="0" w:firstLine="0"/>
      </w:pPr>
      <w:r>
        <w:rPr>
          <w:lang w:val="ru-RU" w:eastAsia="ru-RU" w:bidi="ru-RU"/>
          <w:w w:val="100"/>
          <w:spacing w:val="0"/>
          <w:color w:val="000000"/>
          <w:position w:val="0"/>
        </w:rPr>
        <w:t>ООО «Гриал-Медика»</w:t>
      </w:r>
    </w:p>
    <w:p>
      <w:pPr>
        <w:pStyle w:val="Style10"/>
        <w:widowControl w:val="0"/>
        <w:keepNext w:val="0"/>
        <w:keepLines w:val="0"/>
        <w:shd w:val="clear" w:color="auto" w:fill="auto"/>
        <w:bidi w:val="0"/>
        <w:jc w:val="left"/>
        <w:spacing w:before="0" w:after="315" w:line="278" w:lineRule="exact"/>
        <w:ind w:left="5320" w:right="140" w:firstLine="0"/>
      </w:pPr>
      <w:r>
        <w:rPr>
          <w:lang w:val="ru-RU" w:eastAsia="ru-RU" w:bidi="ru-RU"/>
          <w:w w:val="100"/>
          <w:spacing w:val="0"/>
          <w:color w:val="000000"/>
          <w:position w:val="0"/>
        </w:rPr>
        <w:t>ул. Ярославская, д. 13А, стр. 2, оф. 5, г. Москва, 129366</w:t>
      </w:r>
    </w:p>
    <w:p>
      <w:pPr>
        <w:pStyle w:val="Style10"/>
        <w:widowControl w:val="0"/>
        <w:keepNext w:val="0"/>
        <w:keepLines w:val="0"/>
        <w:shd w:val="clear" w:color="auto" w:fill="auto"/>
        <w:bidi w:val="0"/>
        <w:jc w:val="left"/>
        <w:spacing w:before="0" w:after="292" w:line="260" w:lineRule="exact"/>
        <w:ind w:left="5320" w:right="0" w:firstLine="0"/>
      </w:pPr>
      <w:r>
        <w:rPr>
          <w:lang w:val="ru-RU" w:eastAsia="ru-RU" w:bidi="ru-RU"/>
          <w:w w:val="100"/>
          <w:spacing w:val="0"/>
          <w:color w:val="000000"/>
          <w:position w:val="0"/>
        </w:rPr>
        <w:t>АО «ЕЭТП»</w:t>
      </w:r>
    </w:p>
    <w:p>
      <w:pPr>
        <w:pStyle w:val="Style10"/>
        <w:widowControl w:val="0"/>
        <w:keepNext w:val="0"/>
        <w:keepLines w:val="0"/>
        <w:shd w:val="clear" w:color="auto" w:fill="auto"/>
        <w:bidi w:val="0"/>
        <w:jc w:val="left"/>
        <w:spacing w:before="0" w:after="718" w:line="260" w:lineRule="exact"/>
        <w:ind w:left="5320" w:right="0" w:firstLine="0"/>
      </w:pPr>
      <w:r>
        <w:rPr>
          <w:lang w:val="ru-RU" w:eastAsia="ru-RU" w:bidi="ru-RU"/>
          <w:w w:val="100"/>
          <w:spacing w:val="0"/>
          <w:color w:val="000000"/>
          <w:position w:val="0"/>
        </w:rPr>
        <w:t>60-я Октября пр., д. 9, г. Москва, 117312</w:t>
      </w:r>
    </w:p>
    <w:p>
      <w:pPr>
        <w:pStyle w:val="Style12"/>
        <w:tabs>
          <w:tab w:leader="none" w:pos="10825" w:val="right"/>
          <w:tab w:leader="none" w:pos="10916" w:val="left"/>
        </w:tabs>
        <w:widowControl w:val="0"/>
        <w:keepNext w:val="0"/>
        <w:keepLines w:val="0"/>
        <w:shd w:val="clear" w:color="auto" w:fill="auto"/>
        <w:bidi w:val="0"/>
        <w:jc w:val="left"/>
        <w:spacing w:before="0" w:after="0"/>
        <w:ind w:left="2300" w:right="2320" w:firstLine="2040"/>
      </w:pPr>
      <w:r>
        <w:rPr>
          <w:lang w:val="ru-RU" w:eastAsia="ru-RU" w:bidi="ru-RU"/>
          <w:w w:val="100"/>
          <w:spacing w:val="0"/>
          <w:color w:val="000000"/>
          <w:position w:val="0"/>
        </w:rPr>
        <w:t>РЕШЕНИЕ по делу №077/06/106-2370/2021 о нарушении законодательства о контрактной системе</w:t>
      </w:r>
    </w:p>
    <w:p>
      <w:pPr>
        <w:pStyle w:val="Style12"/>
        <w:numPr>
          <w:ilvl w:val="0"/>
          <w:numId w:val="1"/>
        </w:numPr>
        <w:tabs>
          <w:tab w:leader="none" w:pos="8545" w:val="right"/>
          <w:tab w:leader="none" w:pos="8732" w:val="left"/>
          <w:tab w:leader="none" w:pos="8401"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w:t>
        <w:tab/>
        <w:t>Москва</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10"/>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Членов Комиссии:</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Специалиста-эксперта отдела обжалования государственных закупок П.А. Ступченко,</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Специалиста 1 разряда отдела обжалования государственных закупок А.З. Касимовой,</w:t>
      </w:r>
    </w:p>
    <w:p>
      <w:pPr>
        <w:pStyle w:val="Style10"/>
        <w:widowControl w:val="0"/>
        <w:keepNext w:val="0"/>
        <w:keepLines w:val="0"/>
        <w:shd w:val="clear" w:color="auto" w:fill="auto"/>
        <w:bidi w:val="0"/>
        <w:jc w:val="left"/>
        <w:spacing w:before="0" w:after="0" w:line="322" w:lineRule="exact"/>
        <w:ind w:left="2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10"/>
        <w:tabs>
          <w:tab w:leader="none" w:pos="3927"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ООО «Гриал-Медика»:</w:t>
        <w:tab/>
        <w:t>Болдиновой Н.П. (доверенность от 12.02.2021</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№07/2021),</w:t>
      </w:r>
    </w:p>
    <w:p>
      <w:pPr>
        <w:pStyle w:val="Style3"/>
        <w:framePr w:w="1349" w:h="427" w:wrap="around" w:vAnchor="text" w:hAnchor="margin" w:x="351" w:y="2636"/>
        <w:widowControl w:val="0"/>
        <w:keepNext w:val="0"/>
        <w:keepLines w:val="0"/>
        <w:shd w:val="clear" w:color="auto" w:fill="auto"/>
        <w:bidi w:val="0"/>
        <w:jc w:val="left"/>
        <w:spacing w:before="0" w:after="0" w:line="240" w:lineRule="auto"/>
        <w:ind w:left="0" w:right="0" w:firstLine="0"/>
      </w:pPr>
      <w:r>
        <w:rPr>
          <w:w w:val="100"/>
          <w:spacing w:val="0"/>
          <w:color w:val="000000"/>
          <w:position w:val="0"/>
        </w:rPr>
        <w:t>001716279414</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ГБУЗ «ГКБ № 15 ДЗМ»: Денисова С.А. (доверенность от 21.12.2020 №8475), рассмотрев жалобу ООО «Гриал-Медика» (далее — Заявитель) на действия ГБУЗ «ГКБ № 15 ДЗМ» (далее — Заказчик) при проведении электронного аукциона на право заключения государственного контракта на поставку расходных материалов для реанимации для нужд ГБУЗ «ГКБ № 15 ДЗМ» (Закупка № 0373200024421000044) (далее - аукцион) в соответствии с Федеральным законом от 05.04.2013 №44-ФЗ «О контрактной системе в сфере закупок товаров, работ, услуг</w:t>
      </w:r>
      <w:r>
        <w:br w:type="page"/>
      </w:r>
    </w:p>
    <w:p>
      <w:pPr>
        <w:pStyle w:val="Style10"/>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14"/>
        <w:widowControl w:val="0"/>
        <w:keepNext/>
        <w:keepLines/>
        <w:shd w:val="clear" w:color="auto" w:fill="auto"/>
        <w:bidi w:val="0"/>
        <w:jc w:val="left"/>
        <w:spacing w:before="0" w:after="308" w:line="260" w:lineRule="exact"/>
        <w:ind w:left="4440" w:right="0" w:firstLine="0"/>
      </w:pPr>
      <w:bookmarkStart w:id="0" w:name="bookmark0"/>
      <w:r>
        <w:rPr>
          <w:lang w:val="ru-RU" w:eastAsia="ru-RU" w:bidi="ru-RU"/>
          <w:w w:val="100"/>
          <w:spacing w:val="0"/>
          <w:color w:val="000000"/>
          <w:position w:val="0"/>
        </w:rPr>
        <w:t>УСТАНОВИЛА:</w:t>
      </w:r>
      <w:bookmarkEnd w:id="0"/>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Заявитель обжалует действия аукционной комиссии Заказчика, выразившиеся в признании заявки Заявителя не соответствующей требованиям аукционной документации.</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10.02.2021 №ЕИ/7374/21, Комиссия Управления установила следующее.</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протоколу подведения итогов электронного аукциона от 08.02.2021 №0373200024421000044-3 заявка Заявителя (номер заявки 1) признана не соответствующей требованиям аукционной документации на следующем основании: «п. 1 ч. 6 ст. 69 44-ФЗ - непредставление документов и информации, которые предусмотрены ч. 11 ст. 24.1, ч. 3 или 3.1, 5, 8.2 ст. 66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В пункте 2 Участник предлагает к поставке Плеврофикс набор инструментов для дренирования превральной полости, страна производства Германия. В соответствии с официальным письмом производителя ООО «Б.Браун Медикал», страной производства изделий является Венгрия. Сведения о возможности поставки устройств для дренирования плевральной полости с заявленной страной происхождения являются недостоверными.</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В пункте 3 Участник предлагает к поставке Наконечник аспирационный Янкауер (25шт/упак), Турция. Во второй части приложено регистрационное удостоверение Производителя </w:t>
      </w:r>
      <w:r>
        <w:rPr>
          <w:lang w:val="en-US" w:eastAsia="en-US" w:bidi="en-US"/>
          <w:w w:val="100"/>
          <w:spacing w:val="0"/>
          <w:color w:val="000000"/>
          <w:position w:val="0"/>
        </w:rPr>
        <w:t xml:space="preserve">Bicakcilar Tibbi Cihazlar Sanayi ve Ticaret A.S. </w:t>
      </w:r>
      <w:r>
        <w:rPr>
          <w:lang w:val="ru-RU" w:eastAsia="ru-RU" w:bidi="ru-RU"/>
          <w:w w:val="100"/>
          <w:spacing w:val="0"/>
          <w:color w:val="000000"/>
          <w:position w:val="0"/>
        </w:rPr>
        <w:t xml:space="preserve">на изделия с товарным знаком </w:t>
      </w:r>
      <w:r>
        <w:rPr>
          <w:lang w:val="en-US" w:eastAsia="en-US" w:bidi="en-US"/>
          <w:w w:val="100"/>
          <w:spacing w:val="0"/>
          <w:color w:val="000000"/>
          <w:position w:val="0"/>
        </w:rPr>
        <w:t xml:space="preserve">Hitex. </w:t>
      </w:r>
      <w:r>
        <w:rPr>
          <w:lang w:val="ru-RU" w:eastAsia="ru-RU" w:bidi="ru-RU"/>
          <w:w w:val="100"/>
          <w:spacing w:val="0"/>
          <w:color w:val="000000"/>
          <w:position w:val="0"/>
        </w:rPr>
        <w:t>Необходимость указания товарного знака описана в пункте 18.1 Требований к содержанию и составу заявки на участие в электронном аукционе. Заявка Участника не соответствует требованиям Документации ЭА.</w:t>
      </w:r>
    </w:p>
    <w:p>
      <w:pPr>
        <w:pStyle w:val="Style10"/>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 xml:space="preserve">В пунктах 7,8,9 Участник предлагает к поставке Зонд желудочный назогастральный, страна производства Китай. Во второй части приложено регистрационное удостоверение Производителя Медерен Неотех Лтд. На изделия с товарным знаком </w:t>
      </w:r>
      <w:r>
        <w:rPr>
          <w:lang w:val="en-US" w:eastAsia="en-US" w:bidi="en-US"/>
          <w:w w:val="100"/>
          <w:spacing w:val="0"/>
          <w:color w:val="000000"/>
          <w:position w:val="0"/>
        </w:rPr>
        <w:t xml:space="preserve">MEDEREN. </w:t>
      </w:r>
      <w:r>
        <w:rPr>
          <w:lang w:val="ru-RU" w:eastAsia="ru-RU" w:bidi="ru-RU"/>
          <w:w w:val="100"/>
          <w:spacing w:val="0"/>
          <w:color w:val="000000"/>
          <w:position w:val="0"/>
        </w:rPr>
        <w:t>Необходимость указания товарного знака описана в пункте 18.1 Требований к содержанию и составу заявки на участие в электронном аукционе. Среди изделий, на которые выдано данное регистрационное удостоверение отсутствуют зонды с длиной 121 см, заявленные Участником в первой части заявки. Сведения являются недостоверными, и заявка Участника не соответствует требованиям Документации ЭА».</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 в отношении закупаемых товаров, работ, услуг.</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п.1 ч.6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 11 ст. 24.1, ч. 3 или 3.1, 5, 8.2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ч.8 ст.69 Закона о контрактной системе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Указанный протокол должен содержать информацию о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частью 18 статьи 68 Закона о контрактной системе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 Закона о контрактной системе,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указанная в протоколе рассмотрения вторых частей заявок аукционной комиссией Заказчика причина отклонения заявки ООО «Гриал Медика» не соответствует действительности, поскольку заявка Заявителя содержит иные сведения. Так, представитель Заявителя указал, что им были продекларированы к поставке товары, отличные от перечисленных в обосновании принятого решения аукционной комиссией Заказчика в протоколе подведения итогов электронного аукциона от</w:t>
      </w:r>
    </w:p>
    <w:p>
      <w:pPr>
        <w:pStyle w:val="Style10"/>
        <w:numPr>
          <w:ilvl w:val="0"/>
          <w:numId w:val="3"/>
        </w:numPr>
        <w:tabs>
          <w:tab w:leader="none" w:pos="1441" w:val="left"/>
        </w:tabs>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№0373200024421000044-3 по результатам рассмотрения заявки ООО «Гриал Медика».</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при формировании оспариваемого протокола аукционной комиссией Заказчика допущена техническая ошибка в части указания причины отклонения заявки Заявителя и участника закупки ООО «Юпитер». Так, представитель Заказчика пояснил, что причина отклонения заявки ООО «Юпитер», а именно: «п. 1 ч. 6 ст. 69 44-ФЗ - непредставление документов и информации, которые предусмотрены ч. 11 ст. 24.1, ч. 3 или 3.1, 5, 8.2 ст. 66 44-ФЗ,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В пункте 2 в заявке Участника указано «Плеврофикс набор инструментов для дренирования плевральной полости», «товарный знак отсутствует, страна производства Россия, производитель ООО «МИТ»». Во второй части заявки приложено регистрационное удостоверения Производителя ООО МИМ, Россия.</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«Плеврофикс» является зарегистрированным товарным знаком производителя Б. Браун Мельзунген АГ. Сведения, указанные в заявке, являются недостоверными.</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В пунктах 5,6 Участник предлагает к поставке Зонд дуоденальный, Товарный знак отсутствует, Страна происхождения Китай. Во второй части заявки приложено регистрационное удостоверения Производителя </w:t>
      </w:r>
      <w:r>
        <w:rPr>
          <w:lang w:val="en-US" w:eastAsia="en-US" w:bidi="en-US"/>
          <w:w w:val="100"/>
          <w:spacing w:val="0"/>
          <w:color w:val="000000"/>
          <w:position w:val="0"/>
        </w:rPr>
        <w:t xml:space="preserve">Jiansu Suyun Medical Materials Co., Ltd, </w:t>
      </w:r>
      <w:r>
        <w:rPr>
          <w:lang w:val="ru-RU" w:eastAsia="ru-RU" w:bidi="ru-RU"/>
          <w:w w:val="100"/>
          <w:spacing w:val="0"/>
          <w:color w:val="000000"/>
          <w:position w:val="0"/>
        </w:rPr>
        <w:t xml:space="preserve">Китай на изделия с товарным знаком </w:t>
      </w:r>
      <w:r>
        <w:rPr>
          <w:lang w:val="en-US" w:eastAsia="en-US" w:bidi="en-US"/>
          <w:w w:val="100"/>
          <w:spacing w:val="0"/>
          <w:color w:val="000000"/>
          <w:position w:val="0"/>
        </w:rPr>
        <w:t xml:space="preserve">Suyun. </w:t>
      </w:r>
      <w:r>
        <w:rPr>
          <w:lang w:val="ru-RU" w:eastAsia="ru-RU" w:bidi="ru-RU"/>
          <w:w w:val="100"/>
          <w:spacing w:val="0"/>
          <w:color w:val="000000"/>
          <w:position w:val="0"/>
        </w:rPr>
        <w:t>Сведения об отсутствии товарного знака являются недостоверными, необходимость указания товарного знака описана в пункте 18.1 Требований к содержанию и составу заявки на участие в электронном аукционе.</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В пунктах 7,8,9 Участник предлагает к поставке Катетер желудочный назогастральный, Товарный знак отсутствует, страна происхождения Турция. Во второй части приложено регистрационное удостоверение Производителя </w:t>
      </w:r>
      <w:r>
        <w:rPr>
          <w:lang w:val="en-US" w:eastAsia="en-US" w:bidi="en-US"/>
          <w:w w:val="100"/>
          <w:spacing w:val="0"/>
          <w:color w:val="000000"/>
          <w:position w:val="0"/>
        </w:rPr>
        <w:t xml:space="preserve">Bicakcilar Tibbi Cihazlar Sanayi ve Ticaret A.S. </w:t>
      </w:r>
      <w:r>
        <w:rPr>
          <w:lang w:val="ru-RU" w:eastAsia="ru-RU" w:bidi="ru-RU"/>
          <w:w w:val="100"/>
          <w:spacing w:val="0"/>
          <w:color w:val="000000"/>
          <w:position w:val="0"/>
        </w:rPr>
        <w:t xml:space="preserve">на изделия с товарным знаком </w:t>
      </w:r>
      <w:r>
        <w:rPr>
          <w:lang w:val="en-US" w:eastAsia="en-US" w:bidi="en-US"/>
          <w:w w:val="100"/>
          <w:spacing w:val="0"/>
          <w:color w:val="000000"/>
          <w:position w:val="0"/>
        </w:rPr>
        <w:t xml:space="preserve">Hitex. </w:t>
      </w:r>
      <w:r>
        <w:rPr>
          <w:lang w:val="ru-RU" w:eastAsia="ru-RU" w:bidi="ru-RU"/>
          <w:w w:val="100"/>
          <w:spacing w:val="0"/>
          <w:color w:val="000000"/>
          <w:position w:val="0"/>
        </w:rPr>
        <w:t>Сведения об отсутствии товарного знака являются недостоверными, необходимость указания товарного знака описана в пункте 18.1 Требований к содержанию и составу заявки на участие в электронном аукционе» является относимой к участнику закупки ООО «Гриал Медика», а основание отклонения заявки Заявителя является основанием отклонения заявки участника закупки ООО «Юпитер».</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представитель Заказчика пояснил, что, несмотря на допущенную техническую ошибку при формировании указанного протокола в части его оформления, сами основания отклонения являются правомерными и принятыми в соответствии с действующим законодательством.</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Комиссия Управления отмечает, что выводы, озвученные представителями Заказчика на заседании Комиссии Управления, не следуют из протокола подведения итогов электронного аукциона от 08.02.2021 №0373200024421000044-3, поскольку указанный протокол не позволяет однозначно определить подлинную причину отклонения заявки Заявителя.</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Между тем, в целях обеспечения гласности и прозрачности осуществления закупок, предотвращения коррупции и других злоупотреблений в указанной сфере, представляется возможным сделать вывод о том, что обязательному доведению до сведения участников закупки подлежит вся информация, касающаяся хода и результатов рассмотрения их заявок на участие в названной закупке, поскольку упомянутые результаты напрямую затрагивают права и законные интересы таких участников. Кроме того, такая информация должна детально раскрывать причины отклонения поданной заявки с указанием на то, каким именно положениям закупочной документации не соответствует такая заявка и в какой именно ее части, с тем,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Названный правовой подход наиболее полно отвечает законодательно закрепленному принципу равенства участников гражданских правоотношений (ч. 1 ст. 1 Гражданского кодекса Российской Федерации (далее — ГК РФ), и данного подхода последовательно придерживаются арбитражные суды Московского округа, в частности по делам №№ А40-137048/12, А40-5013/14, А40-43124/14, А40-219113/14.</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свою очередь отклонение заявки участника без обоснования конкретных причин такого отклонения изначально нельзя признать правомерным ввиду несоответствия таких действий целям обеспечения гласности и прозрачности осуществления закупок (ч. 1 ст. 1 Закона о контрактной системе), а также законодательно установленному запрету на злоупотребление правом (ч. 2 ст. 10 ГК РФ) и принципу недопустимости извлечения преимущества из своего незаконного или недобросовестного поведения (ч. 4 ст. 1 ГК РФ).</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что аукционной комиссией Заказчика в нарушение ч.8 ст.69 Закона о контрактной системе в протоколе подведения итогов электронного аукциона не указано обоснование принятого решения о признании заявки Заявителя несоответствующей, и решение аукционной комиссии Заказчика, указанное в протоколе, нарушает положения ч. 7 ст. 69 Закона о контрактной системе.</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При этом, по действительным основаниям отклонения заявки Заявителя, представитель Заказчика пояснил, что Заявителем в составе своей заявки не были указаны товарные знаки, а именно, по.2 «Плеврофикс набор инструментов для дренирования плевральной полости» не указан товарный знак «Плеврофикс», по п.5 «Зонд дуоденальный 14 </w:t>
      </w:r>
      <w:r>
        <w:rPr>
          <w:lang w:val="en-US" w:eastAsia="en-US" w:bidi="en-US"/>
          <w:w w:val="100"/>
          <w:spacing w:val="0"/>
          <w:color w:val="000000"/>
          <w:position w:val="0"/>
        </w:rPr>
        <w:t xml:space="preserve">CH </w:t>
      </w:r>
      <w:r>
        <w:rPr>
          <w:lang w:val="ru-RU" w:eastAsia="ru-RU" w:bidi="ru-RU"/>
          <w:w w:val="100"/>
          <w:spacing w:val="0"/>
          <w:color w:val="000000"/>
          <w:position w:val="0"/>
        </w:rPr>
        <w:t xml:space="preserve">125 см» и п.6 «Зонд дуоденальный 16 </w:t>
      </w:r>
      <w:r>
        <w:rPr>
          <w:lang w:val="en-US" w:eastAsia="en-US" w:bidi="en-US"/>
          <w:w w:val="100"/>
          <w:spacing w:val="0"/>
          <w:color w:val="000000"/>
          <w:position w:val="0"/>
        </w:rPr>
        <w:t xml:space="preserve">CH </w:t>
      </w:r>
      <w:r>
        <w:rPr>
          <w:lang w:val="ru-RU" w:eastAsia="ru-RU" w:bidi="ru-RU"/>
          <w:w w:val="100"/>
          <w:spacing w:val="0"/>
          <w:color w:val="000000"/>
          <w:position w:val="0"/>
        </w:rPr>
        <w:t xml:space="preserve">125 см» не указан товарный знак </w:t>
      </w:r>
      <w:r>
        <w:rPr>
          <w:lang w:val="en-US" w:eastAsia="en-US" w:bidi="en-US"/>
          <w:w w:val="100"/>
          <w:spacing w:val="0"/>
          <w:color w:val="000000"/>
          <w:position w:val="0"/>
        </w:rPr>
        <w:t xml:space="preserve">«Suyun», </w:t>
      </w:r>
      <w:r>
        <w:rPr>
          <w:lang w:val="ru-RU" w:eastAsia="ru-RU" w:bidi="ru-RU"/>
          <w:w w:val="100"/>
          <w:spacing w:val="0"/>
          <w:color w:val="000000"/>
          <w:position w:val="0"/>
        </w:rPr>
        <w:t xml:space="preserve">по п.7 «Зонд желудочный назогастральный 14 СН/121 см», п.8 «Зонд желудочный назогастральный 16 СН/121 см», п.9 «Зонд желудочный назогастральный 18 СН/121 см» не указан товарный знак </w:t>
      </w:r>
      <w:r>
        <w:rPr>
          <w:lang w:val="en-US" w:eastAsia="en-US" w:bidi="en-US"/>
          <w:w w:val="100"/>
          <w:spacing w:val="0"/>
          <w:color w:val="000000"/>
          <w:position w:val="0"/>
        </w:rPr>
        <w:t>«Hitex».</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представитель Заявителя пояснил, что товары, продекларированные им к поставке в первой части своей заявки по оспариваемым пунктам не обладают товарными знаками, зарегистрированными на территории Российской Федерации в установленном законом порядке, соответственно, указанное аукционной комиссией Заказчика основание для отклонения заявки Заявителя является неправомерным.</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Комиссией Управления был объявлен перерыв в рассмотрении жалобы для предоставления сторонам возможности подтвердить свои доводы документальным подтверждением, а именно документами, свидетельствующими о наличии или отсутствии на рынке товаров зарегистрированных товарных знаков, на которые ссылается Заказчик в обосновании причины отклонения заявки Заявителя.</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возобновлении заседания Комиссии Управления после объявленного перерыва, в заседании участвовали представители как Заказчика, так и Заявителя.</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ч.3 ст.66 Закона о контрактной системе первая часть заявки на участие в электронном аукционе, за исключением случая, предусмотренного частью 3.1 ст.66 Закона о контрактной системе, должна содержать:</w:t>
      </w:r>
    </w:p>
    <w:p>
      <w:pPr>
        <w:pStyle w:val="Style10"/>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0"/>
        <w:numPr>
          <w:ilvl w:val="0"/>
          <w:numId w:val="5"/>
        </w:numPr>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0"/>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а) наименование страны происхождения товара;</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ч.1 ст.69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 в отношении закупаемых товаров, работ, услуг.</w:t>
      </w:r>
    </w:p>
    <w:p>
      <w:pPr>
        <w:pStyle w:val="Style1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п.1 ч.6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 непредставления документов и информации, которые предусмотрены ч. 11 ст. 24.1, ч. 3 или 3.1, 5, 8.2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Комиссией Управления установлено, что Заказчиком в технической части аукционной документации, установлены требования к поставляемым товарам, в том числе к товарам по по.2 «Плеврофикс набор инструментов для дренирования плевральной полости», п.5 «Зонд дуоденальный 14 </w:t>
      </w:r>
      <w:r>
        <w:rPr>
          <w:lang w:val="en-US" w:eastAsia="en-US" w:bidi="en-US"/>
          <w:w w:val="100"/>
          <w:spacing w:val="0"/>
          <w:color w:val="000000"/>
          <w:position w:val="0"/>
        </w:rPr>
        <w:t xml:space="preserve">CH </w:t>
      </w:r>
      <w:r>
        <w:rPr>
          <w:lang w:val="ru-RU" w:eastAsia="ru-RU" w:bidi="ru-RU"/>
          <w:w w:val="100"/>
          <w:spacing w:val="0"/>
          <w:color w:val="000000"/>
          <w:position w:val="0"/>
        </w:rPr>
        <w:t xml:space="preserve">125 см», п.6 «Зонд дуоденальный 16 </w:t>
      </w:r>
      <w:r>
        <w:rPr>
          <w:lang w:val="en-US" w:eastAsia="en-US" w:bidi="en-US"/>
          <w:w w:val="100"/>
          <w:spacing w:val="0"/>
          <w:color w:val="000000"/>
          <w:position w:val="0"/>
        </w:rPr>
        <w:t xml:space="preserve">CH </w:t>
      </w:r>
      <w:r>
        <w:rPr>
          <w:lang w:val="ru-RU" w:eastAsia="ru-RU" w:bidi="ru-RU"/>
          <w:w w:val="100"/>
          <w:spacing w:val="0"/>
          <w:color w:val="000000"/>
          <w:position w:val="0"/>
        </w:rPr>
        <w:t>125 см», п.7 «Зонд желудочный назогастральный 14 СН/121 см», п.8 «Зонд желудочный назогастральный 16 СН/121 см», п.9 «Зонд желудочный назогастральный 18 СН/121 см».</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установлено, что в составе первой части заявки участник закупки выразил согласие на поставку товаров в соответствии с условиями аукционной документации, а также предоставил конкретные значения показателей предлагаемых к поставке товаров без указания товарного знака.</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На заседании Комиссии Управления представитель Заказчика пояснил, что в составе первой части заявки Заявителя по п.2 «Плеврофикс набор инструментов для дренирования плевральной полости» указано «Плеврофикс набор инструментов для дренирования плевральной полости», «товарный знак отсутствует, страна производства Россия, производитель ООО «МИМ», в то же время «Плеврофикс» является зарегистрированным товарным знаком производителя Б. Браун Мельзунген АГ, что не было отражено Заявителем в своей заявке. В подтверждение своей позиции на заседание Комиссии Управления представитель Заказчика представил Регистрационное удостоверение МЗ РФ №2002/1035, выданное фирме </w:t>
      </w:r>
      <w:r>
        <w:rPr>
          <w:lang w:val="en-US" w:eastAsia="en-US" w:bidi="en-US"/>
          <w:w w:val="100"/>
          <w:spacing w:val="0"/>
          <w:color w:val="000000"/>
          <w:position w:val="0"/>
        </w:rPr>
        <w:t xml:space="preserve">«B.Braun» </w:t>
      </w:r>
      <w:r>
        <w:rPr>
          <w:lang w:val="ru-RU" w:eastAsia="ru-RU" w:bidi="ru-RU"/>
          <w:w w:val="100"/>
          <w:spacing w:val="0"/>
          <w:color w:val="000000"/>
          <w:position w:val="0"/>
        </w:rPr>
        <w:t>на товар плеврофикс.</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Вместе с тем, Комиссией Управления установлено, что в первой части заявки участника содержится следующая формулировка по оспариваемому пункту: «Набор для дренирования плевральной полости, Страна происхождения Россия» и в составе второй части заявки приложено Регистрационное удостоверение от 26.11.2018 №РЗН 2018/7846 производства ООО «МИМ», Россия.</w:t>
      </w:r>
    </w:p>
    <w:p>
      <w:pPr>
        <w:pStyle w:val="Style1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Комиссия Управления отмечает, что указанное регистрационное удостоверение не может быть принято в качестве относимого и допустимого доказательства в данном конкретном случае, поскольку из его содержания не следует однозначный вывод о том, что на рынке товаров существует зарегистрированный товарный знак «Плеврофикс». Указанный документ ли</w:t>
      </w:r>
      <w:r>
        <w:rPr>
          <w:rStyle w:val="CharStyle16"/>
        </w:rPr>
        <w:t>шь</w:t>
      </w:r>
      <w:r>
        <w:rPr>
          <w:lang w:val="ru-RU" w:eastAsia="ru-RU" w:bidi="ru-RU"/>
          <w:w w:val="100"/>
          <w:spacing w:val="0"/>
          <w:color w:val="000000"/>
          <w:position w:val="0"/>
        </w:rPr>
        <w:t xml:space="preserve"> свидетельствует о производстве конкретной фирмой конкретного товара, имеющего оспариваемое наименование, в то время как достоверным и достаточным подтверждением наличия или отсутствия зарегистрированного товарного знака служит номер государственной регистрации, присвоенный Федеральной службой по интеллектуальной собственности в установленном законом порядке.</w:t>
      </w:r>
    </w:p>
    <w:p>
      <w:pPr>
        <w:pStyle w:val="Style10"/>
        <w:tabs>
          <w:tab w:leader="none" w:pos="4684" w:val="center"/>
          <w:tab w:leader="none" w:pos="6794" w:val="left"/>
          <w:tab w:leader="none" w:pos="10193" w:val="righ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Вместе с тем,</w:t>
        <w:tab/>
        <w:t>Комиссия управления отмечает,</w:t>
        <w:tab/>
        <w:t>что</w:t>
        <w:tab/>
        <w:t>указание Заказчиком в</w:t>
      </w:r>
    </w:p>
    <w:p>
      <w:pPr>
        <w:pStyle w:val="Style10"/>
        <w:tabs>
          <w:tab w:leader="none" w:pos="4684" w:val="center"/>
          <w:tab w:leader="none" w:pos="6733"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технической части</w:t>
        <w:tab/>
        <w:t>аукционной документации</w:t>
        <w:tab/>
        <w:t>в графе «Наименование,</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функциональные, технические характеристики, описание товара», которая может не быть изменена участниками, на «Плеврофикс» по оспариваемому пункту не может считаться надлежащим указанием на товарный знак, поскольку факт существования такого товарного знака Заказчиком не доказан, следовательно, сохранение указанного слова в составе первой части заявки Заявителя в неизменном виде не свидетельствует о том, что участником был предложен к поставке товар, имеющий данное конкретное наименование.</w:t>
      </w:r>
    </w:p>
    <w:p>
      <w:pPr>
        <w:pStyle w:val="Style10"/>
        <w:tabs>
          <w:tab w:leader="none" w:pos="6798" w:val="left"/>
          <w:tab w:leader="none" w:pos="10193" w:val="righ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Также представитель Заказчика пояснил, что по</w:t>
        <w:tab/>
        <w:t>п.5</w:t>
        <w:tab/>
        <w:t>«Зонд дуоденальный 14</w:t>
      </w:r>
    </w:p>
    <w:p>
      <w:pPr>
        <w:pStyle w:val="Style10"/>
        <w:tabs>
          <w:tab w:leader="none" w:pos="716" w:val="left"/>
          <w:tab w:leader="none" w:pos="4684" w:val="center"/>
          <w:tab w:leader="none" w:pos="6733" w:val="left"/>
          <w:tab w:leader="none" w:pos="10193" w:val="right"/>
        </w:tabs>
        <w:widowControl w:val="0"/>
        <w:keepNext w:val="0"/>
        <w:keepLines w:val="0"/>
        <w:shd w:val="clear" w:color="auto" w:fill="auto"/>
        <w:bidi w:val="0"/>
        <w:jc w:val="both"/>
        <w:spacing w:before="0" w:after="0" w:line="322" w:lineRule="exact"/>
        <w:ind w:left="20" w:right="0" w:firstLine="0"/>
      </w:pPr>
      <w:r>
        <w:rPr>
          <w:lang w:val="en-US" w:eastAsia="en-US" w:bidi="en-US"/>
          <w:w w:val="100"/>
          <w:spacing w:val="0"/>
          <w:color w:val="000000"/>
          <w:position w:val="0"/>
        </w:rPr>
        <w:t>CH</w:t>
        <w:tab/>
      </w:r>
      <w:r>
        <w:rPr>
          <w:lang w:val="ru-RU" w:eastAsia="ru-RU" w:bidi="ru-RU"/>
          <w:w w:val="100"/>
          <w:spacing w:val="0"/>
          <w:color w:val="000000"/>
          <w:position w:val="0"/>
        </w:rPr>
        <w:t>125 см», п.6</w:t>
        <w:tab/>
        <w:t xml:space="preserve">«Зонд дуоденальный 16 </w:t>
      </w:r>
      <w:r>
        <w:rPr>
          <w:lang w:val="en-US" w:eastAsia="en-US" w:bidi="en-US"/>
          <w:w w:val="100"/>
          <w:spacing w:val="0"/>
          <w:color w:val="000000"/>
          <w:position w:val="0"/>
        </w:rPr>
        <w:t>CH</w:t>
        <w:tab/>
      </w:r>
      <w:r>
        <w:rPr>
          <w:lang w:val="ru-RU" w:eastAsia="ru-RU" w:bidi="ru-RU"/>
          <w:w w:val="100"/>
          <w:spacing w:val="0"/>
          <w:color w:val="000000"/>
          <w:position w:val="0"/>
        </w:rPr>
        <w:t>125</w:t>
        <w:tab/>
        <w:t>см» Заявителем был</w:t>
      </w:r>
    </w:p>
    <w:p>
      <w:pPr>
        <w:pStyle w:val="Style10"/>
        <w:widowControl w:val="0"/>
        <w:keepNext w:val="0"/>
        <w:keepLines w:val="0"/>
        <w:shd w:val="clear" w:color="auto" w:fill="auto"/>
        <w:bidi w:val="0"/>
        <w:jc w:val="both"/>
        <w:spacing w:before="0" w:after="514" w:line="322" w:lineRule="exact"/>
        <w:ind w:left="20" w:right="20" w:firstLine="0"/>
      </w:pPr>
      <w:r>
        <w:rPr>
          <w:lang w:val="ru-RU" w:eastAsia="ru-RU" w:bidi="ru-RU"/>
          <w:w w:val="100"/>
          <w:spacing w:val="0"/>
          <w:color w:val="000000"/>
          <w:position w:val="0"/>
        </w:rPr>
        <w:t xml:space="preserve">продекларирован к поставке «Зонд дуоденальный, Страна происхождения Китай», при этом в составе второй части заявки им было приложено регистрационное удостоверение от 23.11.2018 № ФСЗ 2010/07113 производителя </w:t>
      </w:r>
      <w:r>
        <w:rPr>
          <w:lang w:val="en-US" w:eastAsia="en-US" w:bidi="en-US"/>
          <w:w w:val="100"/>
          <w:spacing w:val="0"/>
          <w:color w:val="000000"/>
          <w:position w:val="0"/>
        </w:rPr>
        <w:t xml:space="preserve">«Jiansu Suyun Medical Materials Co., Ltd», </w:t>
      </w:r>
      <w:r>
        <w:rPr>
          <w:lang w:val="ru-RU" w:eastAsia="ru-RU" w:bidi="ru-RU"/>
          <w:w w:val="100"/>
          <w:spacing w:val="0"/>
          <w:color w:val="000000"/>
          <w:position w:val="0"/>
        </w:rPr>
        <w:t xml:space="preserve">Китай на изделия с товарным знаком </w:t>
      </w:r>
      <w:r>
        <w:rPr>
          <w:lang w:val="en-US" w:eastAsia="en-US" w:bidi="en-US"/>
          <w:w w:val="100"/>
          <w:spacing w:val="0"/>
          <w:color w:val="000000"/>
          <w:position w:val="0"/>
        </w:rPr>
        <w:t xml:space="preserve">«Suyun», </w:t>
      </w:r>
      <w:r>
        <w:rPr>
          <w:lang w:val="ru-RU" w:eastAsia="ru-RU" w:bidi="ru-RU"/>
          <w:w w:val="100"/>
          <w:spacing w:val="0"/>
          <w:color w:val="000000"/>
          <w:position w:val="0"/>
        </w:rPr>
        <w:t xml:space="preserve">выданное ООО «Юникормед». При этом, в обоснование своей позиции в части относимости оспариваемого слова к категории «товарный знак» на заседание Комиссии Управления представитель Заказчика представил скриншот из открытого реестра товарных знаков и знаков обслуживания Российской Федерации </w:t>
      </w:r>
      <w:r>
        <w:rPr>
          <w:lang w:val="en-US" w:eastAsia="en-US" w:bidi="en-US"/>
          <w:w w:val="100"/>
          <w:spacing w:val="0"/>
          <w:color w:val="000000"/>
          <w:position w:val="0"/>
        </w:rPr>
        <w:t>(</w:t>
      </w:r>
      <w:r>
        <w:fldChar w:fldCharType="begin"/>
      </w:r>
      <w:r>
        <w:rPr>
          <w:rStyle w:val="CharStyle17"/>
        </w:rPr>
        <w:instrText> HYPERLINK "https://www1.fips.ru/registers-web/action?acName=clickRegister&amp;regName=RUTM" </w:instrText>
      </w:r>
      <w:r>
        <w:fldChar w:fldCharType="separate"/>
      </w:r>
      <w:r>
        <w:rPr>
          <w:rStyle w:val="Hyperlink"/>
        </w:rPr>
        <w:t>https://www1.fips.m/registers-web/action?acName=clickRegister&amp;regName=RUTM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согласно которому в Российской Федерации зарегистрирован следующий товарный знак (номер государственной регистрации 515867):</w:t>
      </w:r>
    </w:p>
    <w:p>
      <w:pPr>
        <w:pStyle w:val="Style18"/>
        <w:widowControl w:val="0"/>
        <w:keepNext/>
        <w:keepLines/>
        <w:shd w:val="clear" w:color="auto" w:fill="auto"/>
        <w:bidi w:val="0"/>
        <w:jc w:val="left"/>
        <w:spacing w:before="0" w:after="0"/>
        <w:ind w:left="1680" w:right="6380"/>
      </w:pPr>
      <w:bookmarkStart w:id="1" w:name="bookmark1"/>
      <w:r>
        <w:rPr>
          <w:rStyle w:val="CharStyle20"/>
          <w:b/>
          <w:bCs/>
        </w:rPr>
        <w:t xml:space="preserve">UNICORN </w:t>
      </w:r>
      <w:r>
        <w:rPr>
          <w:rStyle w:val="CharStyle21"/>
          <w:b/>
          <w:bCs/>
        </w:rPr>
        <w:t xml:space="preserve">gfL </w:t>
      </w:r>
      <w:r>
        <w:rPr>
          <w:rStyle w:val="CharStyle22"/>
          <w:b/>
          <w:bCs/>
        </w:rPr>
        <w:t xml:space="preserve">MED </w:t>
      </w:r>
      <w:r>
        <w:rPr>
          <w:rStyle w:val="CharStyle20"/>
          <w:b/>
          <w:bCs/>
        </w:rPr>
        <w:t>m</w:t>
      </w:r>
      <w:bookmarkEnd w:id="1"/>
    </w:p>
    <w:p>
      <w:pPr>
        <w:pStyle w:val="Style10"/>
        <w:tabs>
          <w:tab w:leader="none" w:pos="1815"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Правообладателем указанного товарного знака является компания ООО «Юникормед», при этом, за данным номером государственной регистрации (515867) зарегистрировано следующее: (511) Классы МКТУ и перечень товаров и/или услуг:</w:t>
        <w:tab/>
        <w:t>44 - больницы; консультации по вопросам фармацевтики; массаж;</w:t>
      </w:r>
    </w:p>
    <w:p>
      <w:pPr>
        <w:pStyle w:val="Style10"/>
        <w:widowControl w:val="0"/>
        <w:keepNext w:val="0"/>
        <w:keepLines w:val="0"/>
        <w:shd w:val="clear" w:color="auto" w:fill="auto"/>
        <w:bidi w:val="0"/>
        <w:jc w:val="both"/>
        <w:spacing w:before="0" w:after="360" w:line="322" w:lineRule="exact"/>
        <w:ind w:left="20" w:right="20" w:firstLine="0"/>
      </w:pPr>
      <w:r>
        <w:rPr>
          <w:lang w:val="ru-RU" w:eastAsia="ru-RU" w:bidi="ru-RU"/>
          <w:w w:val="100"/>
          <w:spacing w:val="0"/>
          <w:color w:val="000000"/>
          <w:position w:val="0"/>
        </w:rPr>
        <w:t>помощь медицинская; прокат медицинского оборудования; прокат санитарно</w:t>
        <w:softHyphen/>
        <w:t xml:space="preserve">технического оборудования; санатории; служба санитарная; услуги медицинских клиник; услуги оптиков; услуги терапевтические; уход за больными; физиотерапия; центры здоровья; диспансеры, что очевидно не является предложенными к поставке зондами, более того, за данным номером отсутствует указание на товарный знак </w:t>
      </w:r>
      <w:r>
        <w:rPr>
          <w:lang w:val="en-US" w:eastAsia="en-US" w:bidi="en-US"/>
          <w:w w:val="100"/>
          <w:spacing w:val="0"/>
          <w:color w:val="000000"/>
          <w:position w:val="0"/>
        </w:rPr>
        <w:t>«Suyun»:</w:t>
      </w:r>
    </w:p>
    <w:p>
      <w:pPr>
        <w:pStyle w:val="Style10"/>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Таким образом, представленный Заказчиком товарный знак, подтверждающий по мнению Заказчика правомерность действий аукционной комиссии Заказчика, очевидно не соответствует фактическим обстоятельствам дела.</w:t>
      </w:r>
    </w:p>
    <w:p>
      <w:pPr>
        <w:pStyle w:val="Style10"/>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Вместе с тем Заказчиком также по данным позициям технического Задания представлены следующие сведения (без ссылки на источник в котором добыта данная информация):</w:t>
      </w:r>
      <w:r>
        <w:br w:type="page"/>
      </w:r>
    </w:p>
    <w:p>
      <w:pPr>
        <w:pStyle w:val="Style5"/>
        <w:framePr w:w="4328" w:h="2246" w:hSpace="541" w:vSpace="182" w:wrap="around" w:vAnchor="text" w:hAnchor="margin" w:x="5536" w:y="1086"/>
        <w:widowControl w:val="0"/>
        <w:keepNext w:val="0"/>
        <w:keepLines w:val="0"/>
        <w:shd w:val="clear" w:color="auto" w:fill="auto"/>
        <w:bidi w:val="0"/>
        <w:jc w:val="left"/>
        <w:spacing w:before="0" w:after="75" w:line="170" w:lineRule="exact"/>
        <w:ind w:left="100" w:right="0" w:firstLine="0"/>
      </w:pPr>
      <w:r>
        <w:rPr>
          <w:rStyle w:val="CharStyle7"/>
          <w:spacing w:val="0"/>
        </w:rPr>
        <w:t>Правообладатель:</w:t>
      </w:r>
    </w:p>
    <w:p>
      <w:pPr>
        <w:pStyle w:val="Style5"/>
        <w:framePr w:w="4328" w:h="2246" w:hSpace="541" w:vSpace="182" w:wrap="around" w:vAnchor="text" w:hAnchor="margin" w:x="5536" w:y="1086"/>
        <w:widowControl w:val="0"/>
        <w:keepNext w:val="0"/>
        <w:keepLines w:val="0"/>
        <w:shd w:val="clear" w:color="auto" w:fill="auto"/>
        <w:bidi w:val="0"/>
        <w:jc w:val="left"/>
        <w:spacing w:before="0" w:after="149" w:line="206" w:lineRule="exact"/>
        <w:ind w:left="100" w:right="340" w:firstLine="0"/>
      </w:pPr>
      <w:r>
        <w:rPr>
          <w:rStyle w:val="CharStyle8"/>
          <w:spacing w:val="0"/>
        </w:rPr>
        <w:t xml:space="preserve">Jiangsu Suyun Medical Materials Co., Ltd Lianyungang Development </w:t>
      </w:r>
      <w:r>
        <w:rPr>
          <w:rStyle w:val="CharStyle9"/>
          <w:spacing w:val="0"/>
        </w:rPr>
        <w:t xml:space="preserve">Zone, </w:t>
      </w:r>
      <w:r>
        <w:rPr>
          <w:rStyle w:val="CharStyle8"/>
          <w:spacing w:val="0"/>
        </w:rPr>
        <w:t xml:space="preserve">Lianyungang City Jiangsu Province </w:t>
      </w:r>
      <w:r>
        <w:rPr>
          <w:rStyle w:val="CharStyle7"/>
          <w:lang w:val="en-US" w:eastAsia="en-US" w:bidi="en-US"/>
          <w:spacing w:val="0"/>
        </w:rPr>
        <w:t>(CN)</w:t>
      </w:r>
    </w:p>
    <w:p>
      <w:pPr>
        <w:pStyle w:val="Style5"/>
        <w:framePr w:w="4328" w:h="2246" w:hSpace="541" w:vSpace="182" w:wrap="around" w:vAnchor="text" w:hAnchor="margin" w:x="5536" w:y="1086"/>
        <w:widowControl w:val="0"/>
        <w:keepNext w:val="0"/>
        <w:keepLines w:val="0"/>
        <w:shd w:val="clear" w:color="auto" w:fill="auto"/>
        <w:bidi w:val="0"/>
        <w:jc w:val="left"/>
        <w:spacing w:before="0" w:after="79" w:line="170" w:lineRule="exact"/>
        <w:ind w:left="100" w:right="0" w:firstLine="0"/>
      </w:pPr>
      <w:r>
        <w:rPr>
          <w:rStyle w:val="CharStyle7"/>
          <w:spacing w:val="0"/>
        </w:rPr>
        <w:t>Представитель:</w:t>
      </w:r>
    </w:p>
    <w:p>
      <w:pPr>
        <w:pStyle w:val="Style5"/>
        <w:framePr w:w="4328" w:h="2246" w:hSpace="541" w:vSpace="182" w:wrap="around" w:vAnchor="text" w:hAnchor="margin" w:x="5536" w:y="1086"/>
        <w:widowControl w:val="0"/>
        <w:keepNext w:val="0"/>
        <w:keepLines w:val="0"/>
        <w:shd w:val="clear" w:color="auto" w:fill="auto"/>
        <w:bidi w:val="0"/>
        <w:jc w:val="left"/>
        <w:spacing w:before="0" w:after="0" w:line="202" w:lineRule="exact"/>
        <w:ind w:left="100" w:right="100" w:firstLine="0"/>
      </w:pPr>
      <w:r>
        <w:rPr>
          <w:rStyle w:val="CharStyle8"/>
          <w:spacing w:val="0"/>
        </w:rPr>
        <w:t xml:space="preserve">Lianyungang Guangxin Shangbiao Shiwusuo Room 306, A Tower, Zhongfang Xincheng, No. </w:t>
      </w:r>
      <w:r>
        <w:rPr>
          <w:rStyle w:val="CharStyle9"/>
          <w:spacing w:val="0"/>
        </w:rPr>
        <w:t xml:space="preserve">45 </w:t>
      </w:r>
      <w:r>
        <w:rPr>
          <w:rStyle w:val="CharStyle7"/>
          <w:lang w:val="en-US" w:eastAsia="en-US" w:bidi="en-US"/>
          <w:spacing w:val="0"/>
        </w:rPr>
        <w:t xml:space="preserve">Cangwu </w:t>
      </w:r>
      <w:r>
        <w:rPr>
          <w:rStyle w:val="CharStyle8"/>
          <w:spacing w:val="0"/>
        </w:rPr>
        <w:t xml:space="preserve">Road, </w:t>
      </w:r>
      <w:r>
        <w:rPr>
          <w:rStyle w:val="CharStyle7"/>
          <w:lang w:val="en-US" w:eastAsia="en-US" w:bidi="en-US"/>
          <w:spacing w:val="0"/>
        </w:rPr>
        <w:t xml:space="preserve">Xinpu </w:t>
      </w:r>
      <w:r>
        <w:rPr>
          <w:rStyle w:val="CharStyle8"/>
          <w:spacing w:val="0"/>
        </w:rPr>
        <w:t xml:space="preserve">District, Lianyungang </w:t>
      </w:r>
      <w:r>
        <w:rPr>
          <w:rStyle w:val="CharStyle7"/>
          <w:lang w:val="en-US" w:eastAsia="en-US" w:bidi="en-US"/>
          <w:spacing w:val="0"/>
        </w:rPr>
        <w:t xml:space="preserve">City </w:t>
      </w:r>
      <w:r>
        <w:rPr>
          <w:rStyle w:val="CharStyle9"/>
          <w:spacing w:val="0"/>
        </w:rPr>
        <w:t xml:space="preserve">Jiangsu </w:t>
      </w:r>
      <w:r>
        <w:rPr>
          <w:rStyle w:val="CharStyle8"/>
          <w:spacing w:val="0"/>
        </w:rPr>
        <w:t>Province (CN)</w:t>
      </w:r>
    </w:p>
    <w:p>
      <w:pPr>
        <w:pStyle w:val="Style23"/>
        <w:widowControl w:val="0"/>
        <w:keepNext/>
        <w:keepLines/>
        <w:shd w:val="clear" w:color="auto" w:fill="auto"/>
        <w:bidi w:val="0"/>
        <w:jc w:val="left"/>
        <w:spacing w:before="0" w:after="34" w:line="380" w:lineRule="exact"/>
        <w:ind w:left="4080" w:right="3500"/>
      </w:pPr>
      <w:bookmarkStart w:id="2" w:name="bookmark2"/>
      <w:r>
        <w:rPr>
          <w:rStyle w:val="CharStyle25"/>
        </w:rPr>
        <w:t xml:space="preserve">SUYUN </w:t>
      </w:r>
      <w:r>
        <w:rPr>
          <w:rStyle w:val="CharStyle26"/>
        </w:rPr>
        <w:t>SUYUN</w:t>
      </w:r>
      <w:bookmarkEnd w:id="2"/>
    </w:p>
    <w:p>
      <w:pPr>
        <w:pStyle w:val="Style5"/>
        <w:widowControl w:val="0"/>
        <w:keepNext w:val="0"/>
        <w:keepLines w:val="0"/>
        <w:shd w:val="clear" w:color="auto" w:fill="auto"/>
        <w:bidi w:val="0"/>
        <w:spacing w:before="0" w:after="79" w:line="180" w:lineRule="exact"/>
        <w:ind w:left="20" w:right="0" w:firstLine="0"/>
      </w:pPr>
      <w:r>
        <w:rPr>
          <w:rStyle w:val="CharStyle28"/>
        </w:rPr>
        <w:t>Номер регистрации:</w:t>
      </w:r>
    </w:p>
    <w:p>
      <w:pPr>
        <w:pStyle w:val="Style5"/>
        <w:widowControl w:val="0"/>
        <w:keepNext w:val="0"/>
        <w:keepLines w:val="0"/>
        <w:shd w:val="clear" w:color="auto" w:fill="auto"/>
        <w:bidi w:val="0"/>
        <w:spacing w:before="0" w:after="194" w:line="180" w:lineRule="exact"/>
        <w:ind w:left="20" w:right="0" w:firstLine="0"/>
      </w:pPr>
      <w:r>
        <w:rPr>
          <w:rStyle w:val="CharStyle29"/>
          <w:lang w:val="en-US" w:eastAsia="en-US" w:bidi="en-US"/>
        </w:rPr>
        <w:t>12526OS</w:t>
      </w:r>
    </w:p>
    <w:p>
      <w:pPr>
        <w:pStyle w:val="Style5"/>
        <w:widowControl w:val="0"/>
        <w:keepNext w:val="0"/>
        <w:keepLines w:val="0"/>
        <w:shd w:val="clear" w:color="auto" w:fill="auto"/>
        <w:bidi w:val="0"/>
        <w:spacing w:before="0" w:after="74" w:line="180" w:lineRule="exact"/>
        <w:ind w:left="20" w:right="0" w:firstLine="0"/>
      </w:pPr>
      <w:r>
        <w:rPr>
          <w:rStyle w:val="CharStyle28"/>
        </w:rPr>
        <w:t>Дата регистрации:</w:t>
      </w:r>
    </w:p>
    <w:p>
      <w:pPr>
        <w:pStyle w:val="Style5"/>
        <w:widowControl w:val="0"/>
        <w:keepNext w:val="0"/>
        <w:keepLines w:val="0"/>
        <w:shd w:val="clear" w:color="auto" w:fill="auto"/>
        <w:bidi w:val="0"/>
        <w:spacing w:before="0" w:after="199" w:line="180" w:lineRule="exact"/>
        <w:ind w:left="20" w:right="0" w:firstLine="0"/>
      </w:pPr>
      <w:r>
        <w:rPr>
          <w:rStyle w:val="CharStyle29"/>
        </w:rPr>
        <w:t>10.02.2015</w:t>
      </w:r>
    </w:p>
    <w:p>
      <w:pPr>
        <w:pStyle w:val="Style5"/>
        <w:widowControl w:val="0"/>
        <w:keepNext w:val="0"/>
        <w:keepLines w:val="0"/>
        <w:shd w:val="clear" w:color="auto" w:fill="auto"/>
        <w:bidi w:val="0"/>
        <w:spacing w:before="0" w:after="74" w:line="180" w:lineRule="exact"/>
        <w:ind w:left="20" w:right="0" w:firstLine="0"/>
      </w:pPr>
      <w:r>
        <w:rPr>
          <w:rStyle w:val="CharStyle28"/>
        </w:rPr>
        <w:t>Базовая регистрация:</w:t>
      </w:r>
    </w:p>
    <w:p>
      <w:pPr>
        <w:pStyle w:val="Style5"/>
        <w:widowControl w:val="0"/>
        <w:keepNext w:val="0"/>
        <w:keepLines w:val="0"/>
        <w:shd w:val="clear" w:color="auto" w:fill="auto"/>
        <w:bidi w:val="0"/>
        <w:spacing w:before="0" w:after="209" w:line="180" w:lineRule="exact"/>
        <w:ind w:left="20" w:right="0" w:firstLine="0"/>
      </w:pPr>
      <w:r>
        <w:rPr>
          <w:rStyle w:val="CharStyle30"/>
        </w:rPr>
        <w:t xml:space="preserve">GN. </w:t>
      </w:r>
      <w:r>
        <w:rPr>
          <w:rStyle w:val="CharStyle30"/>
          <w:lang w:val="ru-RU" w:eastAsia="ru-RU" w:bidi="ru-RU"/>
        </w:rPr>
        <w:t>1</w:t>
      </w:r>
      <w:r>
        <w:rPr>
          <w:rStyle w:val="CharStyle31"/>
        </w:rPr>
        <w:t xml:space="preserve">4.03.201 </w:t>
      </w:r>
      <w:r>
        <w:rPr>
          <w:rStyle w:val="CharStyle29"/>
        </w:rPr>
        <w:t>3,</w:t>
      </w:r>
      <w:r>
        <w:rPr>
          <w:rStyle w:val="CharStyle30"/>
          <w:lang w:val="ru-RU" w:eastAsia="ru-RU" w:bidi="ru-RU"/>
        </w:rPr>
        <w:t>1</w:t>
      </w:r>
      <w:r>
        <w:rPr>
          <w:rStyle w:val="CharStyle31"/>
        </w:rPr>
        <w:t>090690В</w:t>
      </w:r>
    </w:p>
    <w:p>
      <w:pPr>
        <w:pStyle w:val="Style5"/>
        <w:widowControl w:val="0"/>
        <w:keepNext w:val="0"/>
        <w:keepLines w:val="0"/>
        <w:shd w:val="clear" w:color="auto" w:fill="auto"/>
        <w:bidi w:val="0"/>
        <w:spacing w:before="0" w:after="79" w:line="180" w:lineRule="exact"/>
        <w:ind w:left="20" w:right="0" w:firstLine="0"/>
      </w:pPr>
      <w:r>
        <w:rPr>
          <w:rStyle w:val="CharStyle28"/>
        </w:rPr>
        <w:t>Дата истечения срока действия регистрации</w:t>
      </w:r>
    </w:p>
    <w:p>
      <w:pPr>
        <w:pStyle w:val="Style5"/>
        <w:widowControl w:val="0"/>
        <w:keepNext w:val="0"/>
        <w:keepLines w:val="0"/>
        <w:shd w:val="clear" w:color="auto" w:fill="auto"/>
        <w:bidi w:val="0"/>
        <w:spacing w:before="0" w:after="209" w:line="180" w:lineRule="exact"/>
        <w:ind w:left="940" w:right="0" w:firstLine="0"/>
      </w:pPr>
      <w:r>
        <w:rPr>
          <w:rStyle w:val="CharStyle29"/>
        </w:rPr>
        <w:t>10.02.2025</w:t>
      </w:r>
    </w:p>
    <w:p>
      <w:pPr>
        <w:pStyle w:val="Style5"/>
        <w:widowControl w:val="0"/>
        <w:keepNext w:val="0"/>
        <w:keepLines w:val="0"/>
        <w:shd w:val="clear" w:color="auto" w:fill="auto"/>
        <w:bidi w:val="0"/>
        <w:spacing w:before="0" w:after="79" w:line="180" w:lineRule="exact"/>
        <w:ind w:left="940" w:right="0" w:firstLine="0"/>
      </w:pPr>
      <w:r>
        <w:rPr>
          <w:rStyle w:val="CharStyle28"/>
        </w:rPr>
        <w:t>Венская классификация:</w:t>
      </w:r>
    </w:p>
    <w:p>
      <w:pPr>
        <w:pStyle w:val="Style5"/>
        <w:widowControl w:val="0"/>
        <w:keepNext w:val="0"/>
        <w:keepLines w:val="0"/>
        <w:shd w:val="clear" w:color="auto" w:fill="auto"/>
        <w:bidi w:val="0"/>
        <w:spacing w:before="0" w:after="194" w:line="180" w:lineRule="exact"/>
        <w:ind w:left="940" w:right="0" w:firstLine="0"/>
      </w:pPr>
      <w:r>
        <w:rPr>
          <w:rStyle w:val="CharStyle29"/>
        </w:rPr>
        <w:t>27.05.01</w:t>
      </w:r>
    </w:p>
    <w:p>
      <w:pPr>
        <w:pStyle w:val="Style5"/>
        <w:widowControl w:val="0"/>
        <w:keepNext w:val="0"/>
        <w:keepLines w:val="0"/>
        <w:shd w:val="clear" w:color="auto" w:fill="auto"/>
        <w:bidi w:val="0"/>
        <w:spacing w:before="0" w:after="74" w:line="180" w:lineRule="exact"/>
        <w:ind w:left="940" w:right="0" w:firstLine="0"/>
      </w:pPr>
      <w:r>
        <w:rPr>
          <w:rStyle w:val="CharStyle28"/>
        </w:rPr>
        <w:t>Классы МКТУ и перечень товаров и/или услуг:</w:t>
      </w:r>
    </w:p>
    <w:p>
      <w:pPr>
        <w:pStyle w:val="Style32"/>
        <w:widowControl w:val="0"/>
        <w:keepNext w:val="0"/>
        <w:keepLines w:val="0"/>
        <w:shd w:val="clear" w:color="auto" w:fill="auto"/>
        <w:bidi w:val="0"/>
        <w:spacing w:before="0" w:after="194" w:line="180" w:lineRule="exact"/>
        <w:ind w:left="940" w:right="0" w:firstLine="0"/>
      </w:pPr>
      <w:r>
        <w:rPr>
          <w:rStyle w:val="CharStyle34"/>
        </w:rPr>
        <w:t>10</w:t>
      </w:r>
    </w:p>
    <w:p>
      <w:pPr>
        <w:pStyle w:val="Style35"/>
        <w:widowControl w:val="0"/>
        <w:keepNext w:val="0"/>
        <w:keepLines w:val="0"/>
        <w:shd w:val="clear" w:color="auto" w:fill="auto"/>
        <w:bidi w:val="0"/>
        <w:spacing w:before="0" w:after="16"/>
        <w:ind w:left="940" w:right="340" w:firstLine="0"/>
      </w:pPr>
      <w:r>
        <w:rPr>
          <w:rStyle w:val="CharStyle37"/>
        </w:rPr>
        <w:t xml:space="preserve">10 </w:t>
      </w:r>
      <w:r>
        <w:rPr>
          <w:rStyle w:val="CharStyle38"/>
        </w:rPr>
        <w:t xml:space="preserve">- </w:t>
      </w:r>
      <w:r>
        <w:rPr>
          <w:rStyle w:val="CharStyle39"/>
        </w:rPr>
        <w:t xml:space="preserve">Syringes for injections; dranage tubes for medical purposes; </w:t>
      </w:r>
      <w:r>
        <w:rPr>
          <w:rStyle w:val="CharStyle40"/>
        </w:rPr>
        <w:t xml:space="preserve">syringes for </w:t>
      </w:r>
      <w:r>
        <w:rPr>
          <w:rStyle w:val="CharStyle39"/>
        </w:rPr>
        <w:t xml:space="preserve">injections </w:t>
      </w:r>
      <w:r>
        <w:rPr>
          <w:rStyle w:val="CharStyle40"/>
        </w:rPr>
        <w:t xml:space="preserve">for </w:t>
      </w:r>
      <w:r>
        <w:rPr>
          <w:rStyle w:val="CharStyle39"/>
        </w:rPr>
        <w:t xml:space="preserve">medical purposes, medical </w:t>
      </w:r>
      <w:r>
        <w:rPr>
          <w:rStyle w:val="CharStyle40"/>
        </w:rPr>
        <w:t xml:space="preserve">apparatus and </w:t>
      </w:r>
      <w:r>
        <w:rPr>
          <w:rStyle w:val="CharStyle41"/>
        </w:rPr>
        <w:t xml:space="preserve">instruments; </w:t>
      </w:r>
      <w:r>
        <w:rPr>
          <w:rStyle w:val="CharStyle40"/>
        </w:rPr>
        <w:t xml:space="preserve">physical exercise apparatus, for medical purposes: diagnostic apparatus for medical purposes body rehabilitation apparatus for med'cal purposes; </w:t>
      </w:r>
      <w:r>
        <w:rPr>
          <w:rStyle w:val="CharStyle39"/>
        </w:rPr>
        <w:t xml:space="preserve">galvanic </w:t>
      </w:r>
      <w:r>
        <w:rPr>
          <w:rStyle w:val="CharStyle40"/>
        </w:rPr>
        <w:t>therapeutic appliances</w:t>
      </w:r>
    </w:p>
    <w:p>
      <w:pPr>
        <w:pStyle w:val="Style10"/>
        <w:tabs>
          <w:tab w:leader="none" w:pos="4773"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При этом, Комиссия Управления отмечает, что Заказчиком не представлен источник данной информации, более того, представленная информация исполнена на иностранном языке, при этом, Заказчиком не представлен надлежащим образом заверенный перевод на русский язык, что не позволяет Комиссии Управления сопоставить данную информацию</w:t>
        <w:tab/>
        <w:t>с аукционной документацией и заявкой</w:t>
      </w:r>
    </w:p>
    <w:p>
      <w:pPr>
        <w:pStyle w:val="Style10"/>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Заявителя.</w:t>
      </w:r>
    </w:p>
    <w:p>
      <w:pPr>
        <w:pStyle w:val="Style10"/>
        <w:tabs>
          <w:tab w:leader="none" w:pos="4773"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Также, представитель Заказчика пояснил, что в составе первой части заявки участника по п.7 «Зонд желудочный назогастральный 14 СН/121 см», п.8 «Зонд желудочный назогастральный 16</w:t>
        <w:tab/>
        <w:t>СН/121 см», п.9 «Зонд желудочный</w:t>
      </w:r>
    </w:p>
    <w:p>
      <w:pPr>
        <w:pStyle w:val="Style10"/>
        <w:tabs>
          <w:tab w:leader="none" w:pos="2910" w:val="left"/>
          <w:tab w:leader="none" w:pos="4773"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назогастральный 18</w:t>
        <w:tab/>
        <w:t>СН/121 см»</w:t>
        <w:tab/>
        <w:t>Заявитель указал «Катетер желудочный</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назогастральный, Страна происхождения Турция», при этом приложив в составе второй части заявки регистрационное удостоверение от 27.02.2017 № ФСЗ 2008/00072 производства </w:t>
      </w:r>
      <w:r>
        <w:rPr>
          <w:lang w:val="en-US" w:eastAsia="en-US" w:bidi="en-US"/>
          <w:w w:val="100"/>
          <w:spacing w:val="0"/>
          <w:color w:val="000000"/>
          <w:position w:val="0"/>
        </w:rPr>
        <w:t xml:space="preserve">«Bicakcilar Tibbi Cihazlar Sanayi ve Ticaret A.S.», </w:t>
      </w:r>
      <w:r>
        <w:rPr>
          <w:lang w:val="ru-RU" w:eastAsia="ru-RU" w:bidi="ru-RU"/>
          <w:w w:val="100"/>
          <w:spacing w:val="0"/>
          <w:color w:val="000000"/>
          <w:position w:val="0"/>
        </w:rPr>
        <w:t xml:space="preserve">Турция, исходя из чего аукционной комиссией Заказчика был сделан вывод о том, что Заявителю надлежало указать товарный знак </w:t>
      </w:r>
      <w:r>
        <w:rPr>
          <w:lang w:val="en-US" w:eastAsia="en-US" w:bidi="en-US"/>
          <w:w w:val="100"/>
          <w:spacing w:val="0"/>
          <w:color w:val="000000"/>
          <w:position w:val="0"/>
        </w:rPr>
        <w:t>«Hitex».</w:t>
      </w:r>
    </w:p>
    <w:p>
      <w:pPr>
        <w:pStyle w:val="Style10"/>
        <w:tabs>
          <w:tab w:leader="none" w:pos="4780" w:val="left"/>
        </w:tabs>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При этом, в подтверждение</w:t>
        <w:tab/>
        <w:t>своих доводов представитель Заказчика</w:t>
      </w:r>
    </w:p>
    <w:p>
      <w:pPr>
        <w:pStyle w:val="Style1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представил обрезанное изображение скриншота из открытого реестра товарных знаков и знаков обслуживания Российской Федерации </w:t>
      </w:r>
      <w:r>
        <w:rPr>
          <w:lang w:val="en-US" w:eastAsia="en-US" w:bidi="en-US"/>
          <w:w w:val="100"/>
          <w:spacing w:val="0"/>
          <w:color w:val="000000"/>
          <w:position w:val="0"/>
        </w:rPr>
        <w:t>(</w:t>
      </w:r>
      <w:r>
        <w:fldChar w:fldCharType="begin"/>
      </w:r>
      <w:r>
        <w:rPr>
          <w:rStyle w:val="CharStyle17"/>
        </w:rPr>
        <w:instrText> HYPERLINK "https://www1.fips.ru/registers-web/action?acName=clickRegister&amp;regName=RUTM" </w:instrText>
      </w:r>
      <w:r>
        <w:fldChar w:fldCharType="separate"/>
      </w:r>
      <w:r>
        <w:rPr>
          <w:rStyle w:val="Hyperlink"/>
        </w:rPr>
        <w:t>https://www1.fips.ru/registers-</w:t>
      </w:r>
      <w:r>
        <w:fldChar w:fldCharType="end"/>
      </w:r>
      <w:r>
        <w:rPr>
          <w:rStyle w:val="CharStyle42"/>
          <w:lang w:val="en-US" w:eastAsia="en-US" w:bidi="en-US"/>
        </w:rPr>
        <w:t xml:space="preserve"> </w:t>
      </w:r>
      <w:r>
        <w:fldChar w:fldCharType="begin"/>
      </w:r>
      <w:r>
        <w:rPr>
          <w:rStyle w:val="CharStyle17"/>
        </w:rPr>
        <w:instrText> HYPERLINK "https://www1.fips.ru/registers-web/action?acName=clickRegister&amp;regName=RUTM" </w:instrText>
      </w:r>
      <w:r>
        <w:fldChar w:fldCharType="separate"/>
      </w:r>
      <w:r>
        <w:rPr>
          <w:rStyle w:val="Hyperlink"/>
        </w:rPr>
        <w:t>web/action?acName=clickRegister&amp;regName=RUTM</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согласно которому в Российской Федерации зарегистрирован следующий товарный знак (номер государственной регистрации 721716):</w:t>
      </w:r>
      <w:r>
        <w:br w:type="page"/>
      </w:r>
    </w:p>
    <w:p>
      <w:pPr>
        <w:pStyle w:val="Style43"/>
        <w:widowControl w:val="0"/>
        <w:keepNext/>
        <w:keepLines/>
        <w:shd w:val="clear" w:color="auto" w:fill="auto"/>
        <w:bidi w:val="0"/>
        <w:jc w:val="left"/>
        <w:spacing w:before="0" w:after="0" w:line="1240" w:lineRule="exact"/>
        <w:ind w:left="240" w:right="0" w:firstLine="0"/>
      </w:pPr>
      <w:bookmarkStart w:id="3" w:name="bookmark3"/>
      <w:r>
        <w:rPr>
          <w:rStyle w:val="CharStyle45"/>
          <w:b/>
          <w:bCs/>
        </w:rPr>
        <w:t>HiteX</w:t>
      </w:r>
      <w:bookmarkEnd w:id="3"/>
    </w:p>
    <w:p>
      <w:pPr>
        <w:pStyle w:val="Style1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Вместе с тем, при проверке указанных данных, Комиссией Управления установлено, что данный номер государственной регистрации не относится к товару «зонд желудочный назогастральный», а относится к следующим товарам:</w:t>
      </w:r>
    </w:p>
    <w:p>
      <w:pPr>
        <w:pStyle w:val="Style46"/>
        <w:widowControl w:val="0"/>
        <w:keepNext w:val="0"/>
        <w:keepLines w:val="0"/>
        <w:shd w:val="clear" w:color="auto" w:fill="auto"/>
        <w:bidi w:val="0"/>
        <w:jc w:val="left"/>
        <w:spacing w:before="0" w:after="0"/>
        <w:ind w:left="40" w:right="0" w:firstLine="0"/>
      </w:pPr>
      <w:r>
        <w:rPr>
          <w:rStyle w:val="CharStyle48"/>
          <w:b/>
          <w:bCs/>
          <w:i w:val="0"/>
          <w:iCs w:val="0"/>
        </w:rPr>
        <w:t xml:space="preserve">(511) </w:t>
      </w:r>
      <w:r>
        <w:rPr>
          <w:rStyle w:val="CharStyle49"/>
          <w:b/>
          <w:bCs/>
          <w:i/>
          <w:iCs/>
        </w:rPr>
        <w:t>Классы МКТУ и</w:t>
      </w:r>
      <w:r>
        <w:rPr>
          <w:rStyle w:val="CharStyle48"/>
          <w:b/>
          <w:bCs/>
          <w:i w:val="0"/>
          <w:iCs w:val="0"/>
        </w:rPr>
        <w:t xml:space="preserve"> </w:t>
      </w:r>
      <w:r>
        <w:rPr>
          <w:rStyle w:val="CharStyle50"/>
          <w:b/>
          <w:bCs/>
          <w:i w:val="0"/>
          <w:iCs w:val="0"/>
        </w:rPr>
        <w:t xml:space="preserve">перечень </w:t>
      </w:r>
      <w:r>
        <w:rPr>
          <w:rStyle w:val="CharStyle51"/>
          <w:b/>
          <w:bCs/>
          <w:i/>
          <w:iCs/>
        </w:rPr>
        <w:t xml:space="preserve">товаров </w:t>
      </w:r>
      <w:r>
        <w:rPr>
          <w:rStyle w:val="CharStyle49"/>
          <w:b/>
          <w:bCs/>
          <w:i/>
          <w:iCs/>
        </w:rPr>
        <w:t>и/или услуг:</w:t>
      </w:r>
    </w:p>
    <w:p>
      <w:pPr>
        <w:pStyle w:val="Style52"/>
        <w:widowControl w:val="0"/>
        <w:keepNext w:val="0"/>
        <w:keepLines w:val="0"/>
        <w:shd w:val="clear" w:color="auto" w:fill="auto"/>
        <w:bidi w:val="0"/>
        <w:jc w:val="left"/>
        <w:spacing w:before="0" w:after="0"/>
        <w:ind w:left="40" w:right="0" w:firstLine="0"/>
      </w:pPr>
      <w:r>
        <w:rPr>
          <w:rStyle w:val="CharStyle54"/>
          <w:b/>
          <w:bCs/>
        </w:rPr>
        <w:t xml:space="preserve">03 </w:t>
      </w:r>
      <w:r>
        <w:rPr>
          <w:lang w:val="ru-RU" w:eastAsia="ru-RU" w:bidi="ru-RU"/>
          <w:w w:val="100"/>
          <w:spacing w:val="0"/>
          <w:color w:val="000000"/>
          <w:position w:val="0"/>
        </w:rPr>
        <w:t xml:space="preserve">- </w:t>
      </w:r>
      <w:r>
        <w:rPr>
          <w:rStyle w:val="CharStyle55"/>
          <w:b/>
          <w:bCs/>
        </w:rPr>
        <w:t xml:space="preserve">масла эфирные: масла, используемые как очищающие средства; растворы </w:t>
      </w:r>
      <w:r>
        <w:rPr>
          <w:rStyle w:val="CharStyle54"/>
          <w:b/>
          <w:bCs/>
        </w:rPr>
        <w:t xml:space="preserve">для </w:t>
      </w:r>
      <w:r>
        <w:rPr>
          <w:rStyle w:val="CharStyle55"/>
          <w:b/>
          <w:bCs/>
        </w:rPr>
        <w:t>очистки.</w:t>
      </w:r>
    </w:p>
    <w:p>
      <w:pPr>
        <w:pStyle w:val="Style52"/>
        <w:widowControl w:val="0"/>
        <w:keepNext w:val="0"/>
        <w:keepLines w:val="0"/>
        <w:shd w:val="clear" w:color="auto" w:fill="auto"/>
        <w:bidi w:val="0"/>
        <w:jc w:val="left"/>
        <w:spacing w:before="0" w:after="373"/>
        <w:ind w:left="40" w:right="1340" w:firstLine="0"/>
      </w:pPr>
      <w:r>
        <w:rPr>
          <w:rStyle w:val="CharStyle55"/>
          <w:b/>
          <w:bCs/>
        </w:rPr>
        <w:t xml:space="preserve">08 - </w:t>
      </w:r>
      <w:r>
        <w:rPr>
          <w:rStyle w:val="CharStyle54"/>
          <w:b/>
          <w:bCs/>
        </w:rPr>
        <w:t xml:space="preserve">газонокосилки </w:t>
      </w:r>
      <w:r>
        <w:rPr>
          <w:rStyle w:val="CharStyle55"/>
          <w:b/>
          <w:bCs/>
        </w:rPr>
        <w:t xml:space="preserve">[ручные </w:t>
      </w:r>
      <w:r>
        <w:rPr>
          <w:rStyle w:val="CharStyle54"/>
          <w:b/>
          <w:bCs/>
        </w:rPr>
        <w:t xml:space="preserve">инструменты]; </w:t>
      </w:r>
      <w:r>
        <w:rPr>
          <w:rStyle w:val="CharStyle55"/>
          <w:b/>
          <w:bCs/>
        </w:rPr>
        <w:t xml:space="preserve">изделия режущие [ручные </w:t>
      </w:r>
      <w:r>
        <w:rPr>
          <w:rStyle w:val="CharStyle54"/>
          <w:b/>
          <w:bCs/>
        </w:rPr>
        <w:t xml:space="preserve">инструменты]; </w:t>
      </w:r>
      <w:r>
        <w:rPr>
          <w:rStyle w:val="CharStyle55"/>
          <w:b/>
          <w:bCs/>
        </w:rPr>
        <w:t xml:space="preserve">инструменты абразивные [ручные </w:t>
      </w:r>
      <w:r>
        <w:rPr>
          <w:rStyle w:val="CharStyle54"/>
          <w:b/>
          <w:bCs/>
        </w:rPr>
        <w:t xml:space="preserve">инструменты]; </w:t>
      </w:r>
      <w:r>
        <w:rPr>
          <w:rStyle w:val="CharStyle55"/>
          <w:b/>
          <w:bCs/>
        </w:rPr>
        <w:t xml:space="preserve">инструменты </w:t>
      </w:r>
      <w:r>
        <w:rPr>
          <w:rStyle w:val="CharStyle54"/>
          <w:b/>
          <w:bCs/>
        </w:rPr>
        <w:t xml:space="preserve">режущие </w:t>
      </w:r>
      <w:r>
        <w:rPr>
          <w:rStyle w:val="CharStyle55"/>
          <w:b/>
          <w:bCs/>
        </w:rPr>
        <w:t xml:space="preserve">[ручные </w:t>
      </w:r>
      <w:r>
        <w:rPr>
          <w:rStyle w:val="CharStyle54"/>
          <w:b/>
          <w:bCs/>
        </w:rPr>
        <w:t xml:space="preserve">инструменты]; </w:t>
      </w:r>
      <w:r>
        <w:rPr>
          <w:rStyle w:val="CharStyle55"/>
          <w:b/>
          <w:bCs/>
        </w:rPr>
        <w:t xml:space="preserve">инструменты ручные </w:t>
      </w:r>
      <w:r>
        <w:rPr>
          <w:rStyle w:val="CharStyle54"/>
          <w:b/>
          <w:bCs/>
        </w:rPr>
        <w:t xml:space="preserve">с ручным </w:t>
      </w:r>
      <w:r>
        <w:rPr>
          <w:rStyle w:val="CharStyle55"/>
          <w:b/>
          <w:bCs/>
        </w:rPr>
        <w:t xml:space="preserve">приводом; ключи </w:t>
      </w:r>
      <w:r>
        <w:rPr>
          <w:rStyle w:val="CharStyle54"/>
          <w:b/>
          <w:bCs/>
        </w:rPr>
        <w:t xml:space="preserve">[ручные инструменты]; </w:t>
      </w:r>
      <w:r>
        <w:rPr>
          <w:rStyle w:val="CharStyle55"/>
          <w:b/>
          <w:bCs/>
        </w:rPr>
        <w:t xml:space="preserve">ключи гаечные [ручные </w:t>
      </w:r>
      <w:r>
        <w:rPr>
          <w:rStyle w:val="CharStyle54"/>
          <w:b/>
          <w:bCs/>
        </w:rPr>
        <w:t xml:space="preserve">инструменты]; </w:t>
      </w:r>
      <w:r>
        <w:rPr>
          <w:rStyle w:val="CharStyle55"/>
          <w:b/>
          <w:bCs/>
        </w:rPr>
        <w:t xml:space="preserve">ножницы для </w:t>
      </w:r>
      <w:r>
        <w:rPr>
          <w:rStyle w:val="CharStyle54"/>
          <w:b/>
          <w:bCs/>
        </w:rPr>
        <w:t xml:space="preserve">резки </w:t>
      </w:r>
      <w:r>
        <w:rPr>
          <w:rStyle w:val="CharStyle55"/>
          <w:b/>
          <w:bCs/>
        </w:rPr>
        <w:t xml:space="preserve">плотных </w:t>
      </w:r>
      <w:r>
        <w:rPr>
          <w:rStyle w:val="CharStyle54"/>
          <w:b/>
          <w:bCs/>
        </w:rPr>
        <w:t xml:space="preserve">материалов; </w:t>
      </w:r>
      <w:r>
        <w:rPr>
          <w:rStyle w:val="CharStyle55"/>
          <w:b/>
          <w:bCs/>
        </w:rPr>
        <w:t xml:space="preserve">ножницы </w:t>
      </w:r>
      <w:r>
        <w:rPr>
          <w:rStyle w:val="CharStyle54"/>
          <w:b/>
          <w:bCs/>
        </w:rPr>
        <w:t xml:space="preserve">слесарные; пилы </w:t>
      </w:r>
      <w:r>
        <w:rPr>
          <w:rStyle w:val="CharStyle55"/>
          <w:b/>
          <w:bCs/>
        </w:rPr>
        <w:t xml:space="preserve">[ручные инструменты]; пульверизаторы для инсектицидов [ручные </w:t>
      </w:r>
      <w:r>
        <w:rPr>
          <w:rStyle w:val="CharStyle54"/>
          <w:b/>
          <w:bCs/>
        </w:rPr>
        <w:t xml:space="preserve">инструменты]; </w:t>
      </w:r>
      <w:r>
        <w:rPr>
          <w:rStyle w:val="CharStyle55"/>
          <w:b/>
          <w:bCs/>
        </w:rPr>
        <w:t xml:space="preserve">пистолеты [ручные </w:t>
      </w:r>
      <w:r>
        <w:rPr>
          <w:rStyle w:val="CharStyle54"/>
          <w:b/>
          <w:bCs/>
        </w:rPr>
        <w:t xml:space="preserve">инструменты]; </w:t>
      </w:r>
      <w:r>
        <w:rPr>
          <w:rStyle w:val="CharStyle55"/>
          <w:b/>
          <w:bCs/>
        </w:rPr>
        <w:t xml:space="preserve">пистолеты для заделки </w:t>
      </w:r>
      <w:r>
        <w:rPr>
          <w:rStyle w:val="CharStyle54"/>
          <w:b/>
          <w:bCs/>
        </w:rPr>
        <w:t xml:space="preserve">швов, неэлектрические; </w:t>
      </w:r>
      <w:r>
        <w:rPr>
          <w:rStyle w:val="CharStyle55"/>
          <w:b/>
          <w:bCs/>
        </w:rPr>
        <w:t xml:space="preserve">пистолеты для </w:t>
      </w:r>
      <w:r>
        <w:rPr>
          <w:rStyle w:val="CharStyle54"/>
          <w:b/>
          <w:bCs/>
        </w:rPr>
        <w:t xml:space="preserve">шовного герметика, </w:t>
      </w:r>
      <w:r>
        <w:rPr>
          <w:rStyle w:val="CharStyle55"/>
          <w:b/>
          <w:bCs/>
        </w:rPr>
        <w:t xml:space="preserve">неэлектрические: </w:t>
      </w:r>
      <w:r>
        <w:rPr>
          <w:rStyle w:val="CharStyle54"/>
          <w:b/>
          <w:bCs/>
        </w:rPr>
        <w:t xml:space="preserve">пистолеты ручные </w:t>
      </w:r>
      <w:r>
        <w:rPr>
          <w:rStyle w:val="CharStyle55"/>
          <w:b/>
          <w:bCs/>
        </w:rPr>
        <w:t xml:space="preserve">для выдавливания </w:t>
      </w:r>
      <w:r>
        <w:rPr>
          <w:rStyle w:val="CharStyle54"/>
          <w:b/>
          <w:bCs/>
        </w:rPr>
        <w:t xml:space="preserve">мастик; </w:t>
      </w:r>
      <w:r>
        <w:rPr>
          <w:rStyle w:val="CharStyle55"/>
          <w:b/>
          <w:bCs/>
        </w:rPr>
        <w:t xml:space="preserve">резаки для </w:t>
      </w:r>
      <w:r>
        <w:rPr>
          <w:rStyle w:val="CharStyle54"/>
          <w:b/>
          <w:bCs/>
        </w:rPr>
        <w:t xml:space="preserve">очистки </w:t>
      </w:r>
      <w:r>
        <w:rPr>
          <w:rStyle w:val="CharStyle55"/>
          <w:b/>
          <w:bCs/>
        </w:rPr>
        <w:t xml:space="preserve">поверхности </w:t>
      </w:r>
      <w:r>
        <w:rPr>
          <w:rStyle w:val="CharStyle54"/>
          <w:b/>
          <w:bCs/>
        </w:rPr>
        <w:t xml:space="preserve">[ручные инструменты]; </w:t>
      </w:r>
      <w:r>
        <w:rPr>
          <w:rStyle w:val="CharStyle55"/>
          <w:b/>
          <w:bCs/>
        </w:rPr>
        <w:t xml:space="preserve">сверла </w:t>
      </w:r>
      <w:r>
        <w:rPr>
          <w:rStyle w:val="CharStyle54"/>
          <w:b/>
          <w:bCs/>
        </w:rPr>
        <w:t xml:space="preserve">[части </w:t>
      </w:r>
      <w:r>
        <w:rPr>
          <w:rStyle w:val="CharStyle55"/>
          <w:b/>
          <w:bCs/>
        </w:rPr>
        <w:t xml:space="preserve">ручных </w:t>
      </w:r>
      <w:r>
        <w:rPr>
          <w:rStyle w:val="CharStyle54"/>
          <w:b/>
          <w:bCs/>
        </w:rPr>
        <w:t xml:space="preserve">инструментов]; скребки [ручные инструменты]; </w:t>
      </w:r>
      <w:r>
        <w:rPr>
          <w:rStyle w:val="CharStyle55"/>
          <w:b/>
          <w:bCs/>
        </w:rPr>
        <w:t xml:space="preserve">труборезы [ручные </w:t>
      </w:r>
      <w:r>
        <w:rPr>
          <w:rStyle w:val="CharStyle54"/>
          <w:b/>
          <w:bCs/>
        </w:rPr>
        <w:t xml:space="preserve">инструменты]; шпатели </w:t>
      </w:r>
      <w:r>
        <w:rPr>
          <w:rStyle w:val="CharStyle55"/>
          <w:b/>
          <w:bCs/>
        </w:rPr>
        <w:t xml:space="preserve">[ручные </w:t>
      </w:r>
      <w:r>
        <w:rPr>
          <w:rStyle w:val="CharStyle54"/>
          <w:b/>
          <w:bCs/>
        </w:rPr>
        <w:t xml:space="preserve">инструменты]; </w:t>
      </w:r>
      <w:r>
        <w:rPr>
          <w:rStyle w:val="CharStyle55"/>
          <w:b/>
          <w:bCs/>
        </w:rPr>
        <w:t xml:space="preserve">ручные орудия </w:t>
      </w:r>
      <w:r>
        <w:rPr>
          <w:lang w:val="ru-RU" w:eastAsia="ru-RU" w:bidi="ru-RU"/>
          <w:w w:val="100"/>
          <w:spacing w:val="0"/>
          <w:color w:val="000000"/>
          <w:position w:val="0"/>
        </w:rPr>
        <w:t xml:space="preserve">и </w:t>
      </w:r>
      <w:r>
        <w:rPr>
          <w:rStyle w:val="CharStyle54"/>
          <w:b/>
          <w:bCs/>
        </w:rPr>
        <w:t xml:space="preserve">инструменты; </w:t>
      </w:r>
      <w:r>
        <w:rPr>
          <w:rStyle w:val="CharStyle55"/>
          <w:b/>
          <w:bCs/>
        </w:rPr>
        <w:t xml:space="preserve">изделия ножевые; алмазы для резки стекла </w:t>
      </w:r>
      <w:r>
        <w:rPr>
          <w:rStyle w:val="CharStyle54"/>
          <w:b/>
          <w:bCs/>
        </w:rPr>
        <w:t xml:space="preserve">[части ручных инструментов]; </w:t>
      </w:r>
      <w:r>
        <w:rPr>
          <w:rStyle w:val="CharStyle55"/>
          <w:b/>
          <w:bCs/>
        </w:rPr>
        <w:t xml:space="preserve">песты для растирания [ручные </w:t>
      </w:r>
      <w:r>
        <w:rPr>
          <w:rStyle w:val="CharStyle54"/>
          <w:b/>
          <w:bCs/>
        </w:rPr>
        <w:t xml:space="preserve">инструменты]; </w:t>
      </w:r>
      <w:r>
        <w:rPr>
          <w:rStyle w:val="CharStyle55"/>
          <w:b/>
          <w:bCs/>
        </w:rPr>
        <w:t xml:space="preserve">бритвы электрические </w:t>
      </w:r>
      <w:r>
        <w:rPr>
          <w:lang w:val="ru-RU" w:eastAsia="ru-RU" w:bidi="ru-RU"/>
          <w:w w:val="100"/>
          <w:spacing w:val="0"/>
          <w:color w:val="000000"/>
          <w:position w:val="0"/>
        </w:rPr>
        <w:t xml:space="preserve">и </w:t>
      </w:r>
      <w:r>
        <w:rPr>
          <w:rStyle w:val="CharStyle55"/>
          <w:b/>
          <w:bCs/>
        </w:rPr>
        <w:t xml:space="preserve">неэлектрические; бруски точильные для кос; </w:t>
      </w:r>
      <w:r>
        <w:rPr>
          <w:rStyle w:val="CharStyle54"/>
          <w:b/>
          <w:bCs/>
        </w:rPr>
        <w:t xml:space="preserve">бруски точильные; </w:t>
      </w:r>
      <w:r>
        <w:rPr>
          <w:rStyle w:val="CharStyle55"/>
          <w:b/>
          <w:bCs/>
        </w:rPr>
        <w:t xml:space="preserve">буравы; </w:t>
      </w:r>
      <w:r>
        <w:rPr>
          <w:rStyle w:val="CharStyle54"/>
          <w:b/>
          <w:bCs/>
        </w:rPr>
        <w:t xml:space="preserve">буры </w:t>
      </w:r>
      <w:r>
        <w:rPr>
          <w:rStyle w:val="CharStyle55"/>
          <w:b/>
          <w:bCs/>
        </w:rPr>
        <w:t xml:space="preserve">для </w:t>
      </w:r>
      <w:r>
        <w:rPr>
          <w:rStyle w:val="CharStyle54"/>
          <w:b/>
          <w:bCs/>
        </w:rPr>
        <w:t xml:space="preserve">плотницких </w:t>
      </w:r>
      <w:r>
        <w:rPr>
          <w:rStyle w:val="CharStyle55"/>
          <w:b/>
          <w:bCs/>
        </w:rPr>
        <w:t xml:space="preserve">работ; </w:t>
      </w:r>
      <w:r>
        <w:rPr>
          <w:rStyle w:val="CharStyle54"/>
          <w:b/>
          <w:bCs/>
        </w:rPr>
        <w:t xml:space="preserve">буры </w:t>
      </w:r>
      <w:r>
        <w:rPr>
          <w:rStyle w:val="CharStyle55"/>
          <w:b/>
          <w:bCs/>
        </w:rPr>
        <w:t xml:space="preserve">[ручные </w:t>
      </w:r>
      <w:r>
        <w:rPr>
          <w:rStyle w:val="CharStyle54"/>
          <w:b/>
          <w:bCs/>
        </w:rPr>
        <w:t xml:space="preserve">инструменты]; ваги; </w:t>
      </w:r>
      <w:r>
        <w:rPr>
          <w:rStyle w:val="CharStyle55"/>
          <w:b/>
          <w:bCs/>
        </w:rPr>
        <w:t xml:space="preserve">вилы </w:t>
      </w:r>
      <w:r>
        <w:rPr>
          <w:rStyle w:val="CharStyle54"/>
          <w:b/>
          <w:bCs/>
        </w:rPr>
        <w:t xml:space="preserve">сельскохозяйственные </w:t>
      </w:r>
      <w:r>
        <w:rPr>
          <w:rStyle w:val="CharStyle55"/>
          <w:b/>
          <w:bCs/>
        </w:rPr>
        <w:t xml:space="preserve">[ручные </w:t>
      </w:r>
      <w:r>
        <w:rPr>
          <w:rStyle w:val="CharStyle54"/>
          <w:b/>
          <w:bCs/>
        </w:rPr>
        <w:t xml:space="preserve">инструменты]; </w:t>
      </w:r>
      <w:r>
        <w:rPr>
          <w:rStyle w:val="CharStyle55"/>
          <w:b/>
          <w:bCs/>
        </w:rPr>
        <w:t xml:space="preserve">гвоздодеры ручные; </w:t>
      </w:r>
      <w:r>
        <w:rPr>
          <w:rStyle w:val="CharStyle54"/>
          <w:b/>
          <w:bCs/>
        </w:rPr>
        <w:t xml:space="preserve">грабли [ручные </w:t>
      </w:r>
      <w:r>
        <w:rPr>
          <w:rStyle w:val="CharStyle55"/>
          <w:b/>
          <w:bCs/>
        </w:rPr>
        <w:t xml:space="preserve">инструменты]; </w:t>
      </w:r>
      <w:r>
        <w:rPr>
          <w:rStyle w:val="CharStyle54"/>
          <w:b/>
          <w:bCs/>
        </w:rPr>
        <w:t xml:space="preserve">державки, используемые при резании [ручные инструменты]; </w:t>
      </w:r>
      <w:r>
        <w:rPr>
          <w:rStyle w:val="CharStyle55"/>
          <w:b/>
          <w:bCs/>
        </w:rPr>
        <w:t xml:space="preserve">держатели </w:t>
      </w:r>
      <w:r>
        <w:rPr>
          <w:rStyle w:val="CharStyle54"/>
          <w:b/>
          <w:bCs/>
        </w:rPr>
        <w:t xml:space="preserve">оселков; </w:t>
      </w:r>
      <w:r>
        <w:rPr>
          <w:rStyle w:val="CharStyle55"/>
          <w:b/>
          <w:bCs/>
        </w:rPr>
        <w:t xml:space="preserve">долота </w:t>
      </w:r>
      <w:r>
        <w:rPr>
          <w:rStyle w:val="CharStyle54"/>
          <w:b/>
          <w:bCs/>
        </w:rPr>
        <w:t xml:space="preserve">[ручные </w:t>
      </w:r>
      <w:r>
        <w:rPr>
          <w:rStyle w:val="CharStyle55"/>
          <w:b/>
          <w:bCs/>
        </w:rPr>
        <w:t xml:space="preserve">инструменты]; долота каменотесные; </w:t>
      </w:r>
      <w:r>
        <w:rPr>
          <w:rStyle w:val="CharStyle54"/>
          <w:b/>
          <w:bCs/>
        </w:rPr>
        <w:t xml:space="preserve">домкраты </w:t>
      </w:r>
      <w:r>
        <w:rPr>
          <w:rStyle w:val="CharStyle55"/>
          <w:b/>
          <w:bCs/>
        </w:rPr>
        <w:t xml:space="preserve">ручные; </w:t>
      </w:r>
      <w:r>
        <w:rPr>
          <w:rStyle w:val="CharStyle54"/>
          <w:b/>
          <w:bCs/>
        </w:rPr>
        <w:t xml:space="preserve">заступы [ручные инструменты]; зензубели; зубила: </w:t>
      </w:r>
      <w:r>
        <w:rPr>
          <w:rStyle w:val="CharStyle55"/>
          <w:b/>
          <w:bCs/>
        </w:rPr>
        <w:t xml:space="preserve">иглы гравировальные: инвентарь </w:t>
      </w:r>
      <w:r>
        <w:rPr>
          <w:rStyle w:val="CharStyle54"/>
          <w:b/>
          <w:bCs/>
        </w:rPr>
        <w:t xml:space="preserve">садово-огородный </w:t>
      </w:r>
      <w:r>
        <w:rPr>
          <w:rStyle w:val="CharStyle55"/>
          <w:b/>
          <w:bCs/>
        </w:rPr>
        <w:t xml:space="preserve">с ручным приводом; </w:t>
      </w:r>
      <w:r>
        <w:rPr>
          <w:rStyle w:val="CharStyle54"/>
          <w:b/>
          <w:bCs/>
        </w:rPr>
        <w:t xml:space="preserve">инструменты </w:t>
      </w:r>
      <w:r>
        <w:rPr>
          <w:rStyle w:val="CharStyle55"/>
          <w:b/>
          <w:bCs/>
        </w:rPr>
        <w:t xml:space="preserve">для выбивания </w:t>
      </w:r>
      <w:r>
        <w:rPr>
          <w:rStyle w:val="CharStyle54"/>
          <w:b/>
          <w:bCs/>
        </w:rPr>
        <w:t xml:space="preserve">номеров; </w:t>
      </w:r>
      <w:r>
        <w:rPr>
          <w:rStyle w:val="CharStyle55"/>
          <w:b/>
          <w:bCs/>
        </w:rPr>
        <w:t xml:space="preserve">инструменты для гофрирования; </w:t>
      </w:r>
      <w:r>
        <w:rPr>
          <w:rStyle w:val="CharStyle54"/>
          <w:b/>
          <w:bCs/>
        </w:rPr>
        <w:t xml:space="preserve">инструменты </w:t>
      </w:r>
      <w:r>
        <w:rPr>
          <w:rStyle w:val="CharStyle55"/>
          <w:b/>
          <w:bCs/>
        </w:rPr>
        <w:t xml:space="preserve">для заточки; </w:t>
      </w:r>
      <w:r>
        <w:rPr>
          <w:rStyle w:val="CharStyle54"/>
          <w:b/>
          <w:bCs/>
        </w:rPr>
        <w:t xml:space="preserve">инструменты </w:t>
      </w:r>
      <w:r>
        <w:rPr>
          <w:rStyle w:val="CharStyle55"/>
          <w:b/>
          <w:bCs/>
        </w:rPr>
        <w:t xml:space="preserve">для заточки режущих </w:t>
      </w:r>
      <w:r>
        <w:rPr>
          <w:rStyle w:val="CharStyle54"/>
          <w:b/>
          <w:bCs/>
        </w:rPr>
        <w:t xml:space="preserve">кромок; инструменты </w:t>
      </w:r>
      <w:r>
        <w:rPr>
          <w:rStyle w:val="CharStyle55"/>
          <w:b/>
          <w:bCs/>
        </w:rPr>
        <w:t xml:space="preserve">для полирования; инструменты для </w:t>
      </w:r>
      <w:r>
        <w:rPr>
          <w:rStyle w:val="CharStyle54"/>
          <w:b/>
          <w:bCs/>
        </w:rPr>
        <w:t xml:space="preserve">резки труб; инструменты клепальные </w:t>
      </w:r>
      <w:r>
        <w:rPr>
          <w:rStyle w:val="CharStyle55"/>
          <w:b/>
          <w:bCs/>
        </w:rPr>
        <w:t xml:space="preserve">[ручные </w:t>
      </w:r>
      <w:r>
        <w:rPr>
          <w:rStyle w:val="CharStyle54"/>
          <w:b/>
          <w:bCs/>
        </w:rPr>
        <w:t xml:space="preserve">инструменты]; </w:t>
      </w:r>
      <w:r>
        <w:rPr>
          <w:rStyle w:val="CharStyle55"/>
          <w:b/>
          <w:bCs/>
        </w:rPr>
        <w:t xml:space="preserve">инструменты развальцовочные [ручные инструменты]; инструменты штамповочные [ручные </w:t>
      </w:r>
      <w:r>
        <w:rPr>
          <w:rStyle w:val="CharStyle54"/>
          <w:b/>
          <w:bCs/>
        </w:rPr>
        <w:t xml:space="preserve">инструменты]; </w:t>
      </w:r>
      <w:r>
        <w:rPr>
          <w:rStyle w:val="CharStyle55"/>
          <w:b/>
          <w:bCs/>
        </w:rPr>
        <w:t xml:space="preserve">кайла [ручные </w:t>
      </w:r>
      <w:r>
        <w:rPr>
          <w:rStyle w:val="CharStyle54"/>
          <w:b/>
          <w:bCs/>
        </w:rPr>
        <w:t xml:space="preserve">инструменты]; </w:t>
      </w:r>
      <w:r>
        <w:rPr>
          <w:rStyle w:val="CharStyle55"/>
          <w:b/>
          <w:bCs/>
        </w:rPr>
        <w:t xml:space="preserve">молотки для работы с камнем: камни точильные; круги точильные [ручные </w:t>
      </w:r>
      <w:r>
        <w:rPr>
          <w:rStyle w:val="CharStyle54"/>
          <w:b/>
          <w:bCs/>
        </w:rPr>
        <w:t xml:space="preserve">инструменты]; кернеры [ручные инструменты]; кирки; киянки [ручные инструменты]; </w:t>
      </w:r>
      <w:r>
        <w:rPr>
          <w:rStyle w:val="CharStyle55"/>
          <w:b/>
          <w:bCs/>
        </w:rPr>
        <w:t xml:space="preserve">клещи дыропробивные [ручные </w:t>
      </w:r>
      <w:r>
        <w:rPr>
          <w:rStyle w:val="CharStyle54"/>
          <w:b/>
          <w:bCs/>
        </w:rPr>
        <w:t xml:space="preserve">инструменты]; клинки; коловороты; стусла </w:t>
      </w:r>
      <w:r>
        <w:rPr>
          <w:rStyle w:val="CharStyle55"/>
          <w:b/>
          <w:bCs/>
        </w:rPr>
        <w:t xml:space="preserve">[ручной </w:t>
      </w:r>
      <w:r>
        <w:rPr>
          <w:rStyle w:val="CharStyle54"/>
          <w:b/>
          <w:bCs/>
        </w:rPr>
        <w:t xml:space="preserve">инструмент]; копры </w:t>
      </w:r>
      <w:r>
        <w:rPr>
          <w:rStyle w:val="CharStyle55"/>
          <w:b/>
          <w:bCs/>
        </w:rPr>
        <w:t xml:space="preserve">[ручные </w:t>
      </w:r>
      <w:r>
        <w:rPr>
          <w:rStyle w:val="CharStyle54"/>
          <w:b/>
          <w:bCs/>
        </w:rPr>
        <w:t xml:space="preserve">инструменты]; </w:t>
      </w:r>
      <w:r>
        <w:rPr>
          <w:rStyle w:val="CharStyle56"/>
          <w:b/>
          <w:bCs/>
        </w:rPr>
        <w:t xml:space="preserve">косы; </w:t>
      </w:r>
      <w:r>
        <w:rPr>
          <w:rStyle w:val="CharStyle54"/>
          <w:b/>
          <w:bCs/>
        </w:rPr>
        <w:t xml:space="preserve">косы с короткой ручкой; круги </w:t>
      </w:r>
      <w:r>
        <w:rPr>
          <w:rStyle w:val="CharStyle55"/>
          <w:b/>
          <w:bCs/>
        </w:rPr>
        <w:t xml:space="preserve">наждачные; кувалды; культиваторы для прополки крупных </w:t>
      </w:r>
      <w:r>
        <w:rPr>
          <w:rStyle w:val="CharStyle54"/>
          <w:b/>
          <w:bCs/>
        </w:rPr>
        <w:t xml:space="preserve">сорняков [ручные инструменты]; клещи; ледорубы; </w:t>
      </w:r>
      <w:r>
        <w:rPr>
          <w:rStyle w:val="CharStyle55"/>
          <w:b/>
          <w:bCs/>
        </w:rPr>
        <w:t xml:space="preserve">лезвия [ручные </w:t>
      </w:r>
      <w:r>
        <w:rPr>
          <w:rStyle w:val="CharStyle54"/>
          <w:b/>
          <w:bCs/>
        </w:rPr>
        <w:t xml:space="preserve">инструменты]; лобзики; кельмы; </w:t>
      </w:r>
      <w:r>
        <w:rPr>
          <w:rStyle w:val="CharStyle55"/>
          <w:b/>
          <w:bCs/>
        </w:rPr>
        <w:t xml:space="preserve">метчики </w:t>
      </w:r>
      <w:r>
        <w:rPr>
          <w:rStyle w:val="CharStyle54"/>
          <w:b/>
          <w:bCs/>
        </w:rPr>
        <w:t xml:space="preserve">[ручные </w:t>
      </w:r>
      <w:r>
        <w:rPr>
          <w:rStyle w:val="CharStyle55"/>
          <w:b/>
          <w:bCs/>
        </w:rPr>
        <w:t xml:space="preserve">инструменты]; </w:t>
      </w:r>
      <w:r>
        <w:rPr>
          <w:rStyle w:val="CharStyle54"/>
          <w:b/>
          <w:bCs/>
        </w:rPr>
        <w:t xml:space="preserve">молотки </w:t>
      </w:r>
      <w:r>
        <w:rPr>
          <w:rStyle w:val="CharStyle55"/>
          <w:b/>
          <w:bCs/>
        </w:rPr>
        <w:t xml:space="preserve">[ручные инструменты]; молотки гладильные [ручные инструменты]; </w:t>
      </w:r>
      <w:r>
        <w:rPr>
          <w:rStyle w:val="CharStyle54"/>
          <w:b/>
          <w:bCs/>
        </w:rPr>
        <w:t xml:space="preserve">молотки </w:t>
      </w:r>
      <w:r>
        <w:rPr>
          <w:rStyle w:val="CharStyle55"/>
          <w:b/>
          <w:bCs/>
        </w:rPr>
        <w:t xml:space="preserve">для </w:t>
      </w:r>
      <w:r>
        <w:rPr>
          <w:rStyle w:val="CharStyle54"/>
          <w:b/>
          <w:bCs/>
        </w:rPr>
        <w:t xml:space="preserve">заточки; молотки </w:t>
      </w:r>
      <w:r>
        <w:rPr>
          <w:rStyle w:val="CharStyle55"/>
          <w:b/>
          <w:bCs/>
        </w:rPr>
        <w:t xml:space="preserve">камнетесные; молотки клепальные [ручные инструменты]; надфили; напильники </w:t>
      </w:r>
      <w:r>
        <w:rPr>
          <w:rStyle w:val="CharStyle54"/>
          <w:b/>
          <w:bCs/>
        </w:rPr>
        <w:t xml:space="preserve">[инструменты]; </w:t>
      </w:r>
      <w:r>
        <w:rPr>
          <w:rStyle w:val="CharStyle55"/>
          <w:b/>
          <w:bCs/>
        </w:rPr>
        <w:t xml:space="preserve">насосы </w:t>
      </w:r>
      <w:r>
        <w:rPr>
          <w:rStyle w:val="CharStyle54"/>
          <w:b/>
          <w:bCs/>
        </w:rPr>
        <w:t xml:space="preserve">ручные; </w:t>
      </w:r>
      <w:r>
        <w:rPr>
          <w:rStyle w:val="CharStyle55"/>
          <w:b/>
          <w:bCs/>
        </w:rPr>
        <w:t xml:space="preserve">лезвия для калевок; лезвия для рубанков; ножи роликовые [ручные инструменты]; ножи </w:t>
      </w:r>
      <w:r>
        <w:rPr>
          <w:rStyle w:val="CharStyle54"/>
          <w:b/>
          <w:bCs/>
        </w:rPr>
        <w:t xml:space="preserve">окулировочные; ножи перочинные; ножи </w:t>
      </w:r>
      <w:r>
        <w:rPr>
          <w:rStyle w:val="CharStyle55"/>
          <w:b/>
          <w:bCs/>
        </w:rPr>
        <w:t xml:space="preserve">садовые кривые; кусторезы; </w:t>
      </w:r>
      <w:r>
        <w:rPr>
          <w:rStyle w:val="CharStyle54"/>
          <w:b/>
          <w:bCs/>
        </w:rPr>
        <w:t xml:space="preserve">ножи; ножницы; </w:t>
      </w:r>
      <w:r>
        <w:rPr>
          <w:rStyle w:val="CharStyle55"/>
          <w:b/>
          <w:bCs/>
        </w:rPr>
        <w:t xml:space="preserve">орудия </w:t>
      </w:r>
      <w:r>
        <w:rPr>
          <w:rStyle w:val="CharStyle54"/>
          <w:b/>
          <w:bCs/>
        </w:rPr>
        <w:t xml:space="preserve">сельскохозяйственные с ручным </w:t>
      </w:r>
      <w:r>
        <w:rPr>
          <w:rStyle w:val="CharStyle55"/>
          <w:b/>
          <w:bCs/>
        </w:rPr>
        <w:t xml:space="preserve">приводом; отвертки </w:t>
      </w:r>
      <w:r>
        <w:rPr>
          <w:rStyle w:val="CharStyle54"/>
          <w:b/>
          <w:bCs/>
        </w:rPr>
        <w:t xml:space="preserve">неэлектрические; </w:t>
      </w:r>
      <w:r>
        <w:rPr>
          <w:rStyle w:val="CharStyle55"/>
          <w:b/>
          <w:bCs/>
        </w:rPr>
        <w:t xml:space="preserve">патроны для </w:t>
      </w:r>
      <w:r>
        <w:rPr>
          <w:rStyle w:val="CharStyle54"/>
          <w:b/>
          <w:bCs/>
        </w:rPr>
        <w:t xml:space="preserve">разверток; патроны </w:t>
      </w:r>
      <w:r>
        <w:rPr>
          <w:rStyle w:val="CharStyle55"/>
          <w:b/>
          <w:bCs/>
        </w:rPr>
        <w:t xml:space="preserve">сверлильные </w:t>
      </w:r>
      <w:r>
        <w:rPr>
          <w:rStyle w:val="CharStyle54"/>
          <w:b/>
          <w:bCs/>
        </w:rPr>
        <w:t xml:space="preserve">[ручные инструменты]; </w:t>
      </w:r>
      <w:r>
        <w:rPr>
          <w:rStyle w:val="CharStyle55"/>
          <w:b/>
          <w:bCs/>
        </w:rPr>
        <w:t xml:space="preserve">перфораторы </w:t>
      </w:r>
      <w:r>
        <w:rPr>
          <w:rStyle w:val="CharStyle54"/>
          <w:b/>
          <w:bCs/>
        </w:rPr>
        <w:t xml:space="preserve">[ручные инструменты]; </w:t>
      </w:r>
      <w:r>
        <w:rPr>
          <w:rStyle w:val="CharStyle55"/>
          <w:b/>
          <w:bCs/>
        </w:rPr>
        <w:t xml:space="preserve">пилы </w:t>
      </w:r>
      <w:r>
        <w:rPr>
          <w:rStyle w:val="CharStyle54"/>
          <w:b/>
          <w:bCs/>
        </w:rPr>
        <w:t xml:space="preserve">лучковые; полотна </w:t>
      </w:r>
      <w:r>
        <w:rPr>
          <w:rStyle w:val="CharStyle55"/>
          <w:b/>
          <w:bCs/>
        </w:rPr>
        <w:t xml:space="preserve">пил </w:t>
      </w:r>
      <w:r>
        <w:rPr>
          <w:rStyle w:val="CharStyle54"/>
          <w:b/>
          <w:bCs/>
        </w:rPr>
        <w:t xml:space="preserve">[части </w:t>
      </w:r>
      <w:r>
        <w:rPr>
          <w:rStyle w:val="CharStyle55"/>
          <w:b/>
          <w:bCs/>
        </w:rPr>
        <w:t xml:space="preserve">ручных </w:t>
      </w:r>
      <w:r>
        <w:rPr>
          <w:rStyle w:val="CharStyle54"/>
          <w:b/>
          <w:bCs/>
        </w:rPr>
        <w:t xml:space="preserve">инструментов]; </w:t>
      </w:r>
      <w:r>
        <w:rPr>
          <w:rStyle w:val="CharStyle55"/>
          <w:b/>
          <w:bCs/>
        </w:rPr>
        <w:t xml:space="preserve">пояса-держатели </w:t>
      </w:r>
      <w:r>
        <w:rPr>
          <w:rStyle w:val="CharStyle54"/>
          <w:b/>
          <w:bCs/>
        </w:rPr>
        <w:t xml:space="preserve">ручного </w:t>
      </w:r>
      <w:r>
        <w:rPr>
          <w:rStyle w:val="CharStyle55"/>
          <w:b/>
          <w:bCs/>
        </w:rPr>
        <w:t xml:space="preserve">инструмента; пробойники; пробойники </w:t>
      </w:r>
      <w:r>
        <w:rPr>
          <w:rStyle w:val="CharStyle54"/>
          <w:b/>
          <w:bCs/>
        </w:rPr>
        <w:t xml:space="preserve">для </w:t>
      </w:r>
      <w:r>
        <w:rPr>
          <w:rStyle w:val="CharStyle55"/>
          <w:b/>
          <w:bCs/>
        </w:rPr>
        <w:t xml:space="preserve">выбивания шплинтов; разбрызгиватели инсектицидов; </w:t>
      </w:r>
      <w:r>
        <w:rPr>
          <w:rStyle w:val="CharStyle54"/>
          <w:b/>
          <w:bCs/>
        </w:rPr>
        <w:t xml:space="preserve">развертки; вилы [ручные инструменты]; рамки </w:t>
      </w:r>
      <w:r>
        <w:rPr>
          <w:rStyle w:val="CharStyle55"/>
          <w:b/>
          <w:bCs/>
        </w:rPr>
        <w:t xml:space="preserve">для ручных пил </w:t>
      </w:r>
      <w:r>
        <w:rPr>
          <w:rStyle w:val="CharStyle54"/>
          <w:b/>
          <w:bCs/>
        </w:rPr>
        <w:t xml:space="preserve">или ножовок; </w:t>
      </w:r>
      <w:r>
        <w:rPr>
          <w:rStyle w:val="CharStyle55"/>
          <w:b/>
          <w:bCs/>
        </w:rPr>
        <w:t xml:space="preserve">рамы пил; </w:t>
      </w:r>
      <w:r>
        <w:rPr>
          <w:rStyle w:val="CharStyle54"/>
          <w:b/>
          <w:bCs/>
        </w:rPr>
        <w:t xml:space="preserve">рашпили [ручные инструменты]; </w:t>
      </w:r>
      <w:r>
        <w:rPr>
          <w:rStyle w:val="CharStyle55"/>
          <w:b/>
          <w:bCs/>
        </w:rPr>
        <w:t xml:space="preserve">режущие </w:t>
      </w:r>
      <w:r>
        <w:rPr>
          <w:rStyle w:val="CharStyle54"/>
          <w:b/>
          <w:bCs/>
        </w:rPr>
        <w:t xml:space="preserve">инструменты: ножи- секачи; ножи </w:t>
      </w:r>
      <w:r>
        <w:rPr>
          <w:rStyle w:val="CharStyle55"/>
          <w:b/>
          <w:bCs/>
        </w:rPr>
        <w:t xml:space="preserve">сапожные; резцы гравировальные [ручные </w:t>
      </w:r>
      <w:r>
        <w:rPr>
          <w:rStyle w:val="CharStyle54"/>
          <w:b/>
          <w:bCs/>
        </w:rPr>
        <w:t xml:space="preserve">инструменты]; </w:t>
      </w:r>
      <w:r>
        <w:rPr>
          <w:rStyle w:val="CharStyle55"/>
          <w:b/>
          <w:bCs/>
        </w:rPr>
        <w:t xml:space="preserve">ремни для </w:t>
      </w:r>
      <w:r>
        <w:rPr>
          <w:rStyle w:val="CharStyle54"/>
          <w:b/>
          <w:bCs/>
        </w:rPr>
        <w:t xml:space="preserve">правки </w:t>
      </w:r>
      <w:r>
        <w:rPr>
          <w:rStyle w:val="CharStyle55"/>
          <w:b/>
          <w:bCs/>
        </w:rPr>
        <w:t xml:space="preserve">бритв; </w:t>
      </w:r>
      <w:r>
        <w:rPr>
          <w:rStyle w:val="CharStyle54"/>
          <w:b/>
          <w:bCs/>
        </w:rPr>
        <w:t xml:space="preserve">рубанки; </w:t>
      </w:r>
      <w:r>
        <w:rPr>
          <w:rStyle w:val="CharStyle55"/>
          <w:b/>
          <w:bCs/>
        </w:rPr>
        <w:t xml:space="preserve">сверла для </w:t>
      </w:r>
      <w:r>
        <w:rPr>
          <w:rStyle w:val="CharStyle54"/>
          <w:b/>
          <w:bCs/>
        </w:rPr>
        <w:t xml:space="preserve">полостей [части </w:t>
      </w:r>
      <w:r>
        <w:rPr>
          <w:rStyle w:val="CharStyle55"/>
          <w:b/>
          <w:bCs/>
        </w:rPr>
        <w:t xml:space="preserve">ручных </w:t>
      </w:r>
      <w:r>
        <w:rPr>
          <w:rStyle w:val="CharStyle54"/>
          <w:b/>
          <w:bCs/>
        </w:rPr>
        <w:t xml:space="preserve">инструментов]; секаторы; скобели; </w:t>
      </w:r>
      <w:r>
        <w:rPr>
          <w:rStyle w:val="CharStyle55"/>
          <w:b/>
          <w:bCs/>
        </w:rPr>
        <w:t xml:space="preserve">стамески; </w:t>
      </w:r>
      <w:r>
        <w:rPr>
          <w:rStyle w:val="CharStyle54"/>
          <w:b/>
          <w:bCs/>
        </w:rPr>
        <w:t xml:space="preserve">стамески </w:t>
      </w:r>
      <w:r>
        <w:rPr>
          <w:rStyle w:val="CharStyle55"/>
          <w:b/>
          <w:bCs/>
        </w:rPr>
        <w:t xml:space="preserve">для </w:t>
      </w:r>
      <w:r>
        <w:rPr>
          <w:rStyle w:val="CharStyle54"/>
          <w:b/>
          <w:bCs/>
        </w:rPr>
        <w:t xml:space="preserve">конопачения; стамески </w:t>
      </w:r>
      <w:r>
        <w:rPr>
          <w:rStyle w:val="CharStyle55"/>
          <w:b/>
          <w:bCs/>
        </w:rPr>
        <w:t xml:space="preserve">полукруглые [ручные инструменты]; зажимы для плотницких работ; </w:t>
      </w:r>
      <w:r>
        <w:rPr>
          <w:rStyle w:val="CharStyle54"/>
          <w:b/>
          <w:bCs/>
        </w:rPr>
        <w:t xml:space="preserve">тесаки; </w:t>
      </w:r>
      <w:r>
        <w:rPr>
          <w:rStyle w:val="CharStyle55"/>
          <w:b/>
          <w:bCs/>
        </w:rPr>
        <w:t xml:space="preserve">тесла </w:t>
      </w:r>
      <w:r>
        <w:rPr>
          <w:rStyle w:val="CharStyle54"/>
          <w:b/>
          <w:bCs/>
        </w:rPr>
        <w:t xml:space="preserve">[инструменты]; тиски; топорики [ручные инструменты]; топоры; </w:t>
      </w:r>
      <w:r>
        <w:rPr>
          <w:rStyle w:val="CharStyle55"/>
          <w:b/>
          <w:bCs/>
        </w:rPr>
        <w:t xml:space="preserve">трамбовки </w:t>
      </w:r>
      <w:r>
        <w:rPr>
          <w:rStyle w:val="CharStyle54"/>
          <w:b/>
          <w:bCs/>
        </w:rPr>
        <w:t xml:space="preserve">[ручные инструменты]; </w:t>
      </w:r>
      <w:r>
        <w:rPr>
          <w:rStyle w:val="CharStyle55"/>
          <w:b/>
          <w:bCs/>
        </w:rPr>
        <w:t xml:space="preserve">устройства натяжные металлических лент [ручные </w:t>
      </w:r>
      <w:r>
        <w:rPr>
          <w:rStyle w:val="CharStyle54"/>
          <w:b/>
          <w:bCs/>
        </w:rPr>
        <w:t xml:space="preserve">инструменты]; </w:t>
      </w:r>
      <w:r>
        <w:rPr>
          <w:rStyle w:val="CharStyle55"/>
          <w:b/>
          <w:bCs/>
        </w:rPr>
        <w:t xml:space="preserve">шаберы [ручные </w:t>
      </w:r>
      <w:r>
        <w:rPr>
          <w:rStyle w:val="CharStyle54"/>
          <w:b/>
          <w:bCs/>
        </w:rPr>
        <w:t xml:space="preserve">инструменты]; </w:t>
      </w:r>
      <w:r>
        <w:rPr>
          <w:rStyle w:val="CharStyle55"/>
          <w:b/>
          <w:bCs/>
        </w:rPr>
        <w:t xml:space="preserve">резцы фрезерные </w:t>
      </w:r>
      <w:r>
        <w:rPr>
          <w:rStyle w:val="CharStyle54"/>
          <w:b/>
          <w:bCs/>
        </w:rPr>
        <w:t xml:space="preserve">[ручные инструменты]; </w:t>
      </w:r>
      <w:r>
        <w:rPr>
          <w:rStyle w:val="CharStyle55"/>
          <w:b/>
          <w:bCs/>
        </w:rPr>
        <w:t xml:space="preserve">шилья; шпатели; </w:t>
      </w:r>
      <w:r>
        <w:rPr>
          <w:rStyle w:val="CharStyle54"/>
          <w:b/>
          <w:bCs/>
        </w:rPr>
        <w:t xml:space="preserve">штыри; щипцы; </w:t>
      </w:r>
      <w:r>
        <w:rPr>
          <w:rStyle w:val="CharStyle55"/>
          <w:b/>
          <w:bCs/>
        </w:rPr>
        <w:t xml:space="preserve">ломы; ножницы </w:t>
      </w:r>
      <w:r>
        <w:rPr>
          <w:rStyle w:val="CharStyle54"/>
          <w:b/>
          <w:bCs/>
        </w:rPr>
        <w:t xml:space="preserve">садовые; </w:t>
      </w:r>
      <w:r>
        <w:rPr>
          <w:rStyle w:val="CharStyle55"/>
          <w:b/>
          <w:bCs/>
        </w:rPr>
        <w:t>овощерезки.</w:t>
      </w:r>
    </w:p>
    <w:p>
      <w:pPr>
        <w:pStyle w:val="Style1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Таким образом, ссылка представителя Заказчика на указанный номер государственной регистрации не может быть принята Комиссией Управления в качестве надлежащего доказательства.</w:t>
      </w:r>
    </w:p>
    <w:p>
      <w:pPr>
        <w:pStyle w:val="Style10"/>
        <w:widowControl w:val="0"/>
        <w:keepNext w:val="0"/>
        <w:keepLines w:val="0"/>
        <w:shd w:val="clear" w:color="auto" w:fill="auto"/>
        <w:bidi w:val="0"/>
        <w:jc w:val="both"/>
        <w:spacing w:before="0" w:after="0" w:line="322" w:lineRule="exact"/>
        <w:ind w:left="40" w:right="20" w:firstLine="680"/>
      </w:pPr>
      <w:r>
        <w:rPr>
          <w:lang w:val="ru-RU" w:eastAsia="ru-RU" w:bidi="ru-RU"/>
          <w:w w:val="100"/>
          <w:spacing w:val="0"/>
          <w:color w:val="000000"/>
          <w:position w:val="0"/>
        </w:rPr>
        <w:t>При этом Комиссия Управления отмечает, что такие действия Заказчика, как представление отформатированных изображений на заседание Комиссии Управления на зарегистрированные по мнению Заказчика товарные знаки (номера государственной регистрации 515867; 721716) и указание на них как на относимые к товарам, предлагаемым Заявителем к поставке, при наличии того факта, что представителю Заказчика заведомо было известно об их принадлежности к иным товарам, а в случае с номером государственной регистрации 515867 и вовсе к услугам, которые функционально и технически не могут быть даже косвенно отнесены к товарам являющимся предметом данного рассмотрения имеют признаки состава административного правонарушения.</w:t>
      </w:r>
    </w:p>
    <w:p>
      <w:pPr>
        <w:pStyle w:val="Style10"/>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Таким образом на основании вышеизложенного, Комиссия Управления приходит к выводу, что представителем Заказчика не представлены документы и сведения, однозначно свидетельствующие о наличии товарных знаков у предлагаемых Заявителем товаров, более того, представленные документы содержат недостоверную информацию.</w:t>
      </w:r>
    </w:p>
    <w:p>
      <w:pPr>
        <w:pStyle w:val="Style10"/>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Вместе с тем Комиссия Управления отмечает, что в силу пп. «б» п.2 ч.3 ст.66 Закона о контрактной системе первая часть заявки должна содержать указание на товарный знак исключительно при его наличии, при этом Закон о контрактной системе не обязывает участников закупки декларировать в составе заявки информацию об отсутствии у предлагаемых к поставке товаров товарных знаков, поскольку данный факт очевиден при неотражении информации о них в заявке.</w:t>
      </w:r>
    </w:p>
    <w:p>
      <w:pPr>
        <w:pStyle w:val="Style10"/>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Таким образом, Комиссия Управления приходит к выводу о том, что отсутствие сведений о товарных знаках предлагаемых Заявителем товаров на участие в аукционе не противоречит требованиям ч. 3 ст. 66 Закона о контрактной системе, ввиду установленной Законом о контрактной системе обязанности предоставления в заявке сведений о товарных знаках только в случае их наличия.</w:t>
      </w:r>
    </w:p>
    <w:p>
      <w:pPr>
        <w:pStyle w:val="Style10"/>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В соответствии с ч.6 ст.69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10"/>
        <w:numPr>
          <w:ilvl w:val="0"/>
          <w:numId w:val="7"/>
        </w:numPr>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 xml:space="preserve"> непредставления документов и информации, которые предусмотрены ч.11 ст.24.1, ч.3 или 3.1, 5, 8.2 ст.66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10"/>
        <w:numPr>
          <w:ilvl w:val="0"/>
          <w:numId w:val="7"/>
        </w:numPr>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ч.1, ч.1.1, ч.2 и ч.2.1 (при наличии таких требований) ст.31 Закона о контрактной системе;</w:t>
      </w:r>
    </w:p>
    <w:p>
      <w:pPr>
        <w:pStyle w:val="Style10"/>
        <w:numPr>
          <w:ilvl w:val="0"/>
          <w:numId w:val="7"/>
        </w:numPr>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ст.14 Закона о контрактной системе.</w:t>
      </w:r>
    </w:p>
    <w:p>
      <w:pPr>
        <w:pStyle w:val="Style10"/>
        <w:widowControl w:val="0"/>
        <w:keepNext w:val="0"/>
        <w:keepLines w:val="0"/>
        <w:shd w:val="clear" w:color="auto" w:fill="auto"/>
        <w:bidi w:val="0"/>
        <w:jc w:val="both"/>
        <w:spacing w:before="0" w:after="0" w:line="322" w:lineRule="exact"/>
        <w:ind w:left="0" w:right="40" w:firstLine="720"/>
      </w:pPr>
      <w:r>
        <w:rPr>
          <w:lang w:val="ru-RU" w:eastAsia="ru-RU" w:bidi="ru-RU"/>
          <w:w w:val="100"/>
          <w:spacing w:val="0"/>
          <w:color w:val="000000"/>
          <w:position w:val="0"/>
        </w:rPr>
        <w:t>В силу ч.7 ст.69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pPr>
        <w:pStyle w:val="Style10"/>
        <w:widowControl w:val="0"/>
        <w:keepNext w:val="0"/>
        <w:keepLines w:val="0"/>
        <w:shd w:val="clear" w:color="auto" w:fill="auto"/>
        <w:bidi w:val="0"/>
        <w:jc w:val="both"/>
        <w:spacing w:before="0" w:after="0" w:line="322" w:lineRule="exact"/>
        <w:ind w:left="0" w:right="0" w:firstLine="720"/>
      </w:pPr>
      <w:r>
        <w:rPr>
          <w:lang w:val="ru-RU" w:eastAsia="ru-RU" w:bidi="ru-RU"/>
          <w:w w:val="100"/>
          <w:spacing w:val="0"/>
          <w:color w:val="000000"/>
          <w:position w:val="0"/>
        </w:rPr>
        <w:t>Таким образом, решение аукционной комиссии Заказчика в части признания заявки Заявителя несоответствующей по вышеописанным основаниям является неправомерным и принято в нарушение ч. 7 ст.69 Закона о контрактной системе.</w:t>
      </w:r>
    </w:p>
    <w:p>
      <w:pPr>
        <w:pStyle w:val="Style10"/>
        <w:widowControl w:val="0"/>
        <w:keepNext w:val="0"/>
        <w:keepLines w:val="0"/>
        <w:shd w:val="clear" w:color="auto" w:fill="auto"/>
        <w:bidi w:val="0"/>
        <w:jc w:val="both"/>
        <w:spacing w:before="0" w:after="289" w:line="322"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4"/>
        <w:widowControl w:val="0"/>
        <w:keepNext/>
        <w:keepLines/>
        <w:shd w:val="clear" w:color="auto" w:fill="auto"/>
        <w:bidi w:val="0"/>
        <w:jc w:val="left"/>
        <w:spacing w:before="0" w:after="303" w:line="260" w:lineRule="exact"/>
        <w:ind w:left="4780" w:right="0" w:firstLine="0"/>
      </w:pPr>
      <w:bookmarkStart w:id="4" w:name="bookmark4"/>
      <w:r>
        <w:rPr>
          <w:lang w:val="ru-RU" w:eastAsia="ru-RU" w:bidi="ru-RU"/>
          <w:w w:val="100"/>
          <w:spacing w:val="0"/>
          <w:color w:val="000000"/>
          <w:position w:val="0"/>
        </w:rPr>
        <w:t>РЕШИЛА:</w:t>
      </w:r>
      <w:bookmarkEnd w:id="4"/>
    </w:p>
    <w:p>
      <w:pPr>
        <w:pStyle w:val="Style10"/>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1. Признать жалобу ООО «Гриал-Медика» на действия аукционной комиссии ГБУЗ «ГКБ № 15 ДЗМ» обоснованной.</w:t>
      </w:r>
    </w:p>
    <w:p>
      <w:pPr>
        <w:pStyle w:val="Style10"/>
        <w:widowControl w:val="0"/>
        <w:keepNext w:val="0"/>
        <w:keepLines w:val="0"/>
        <w:shd w:val="clear" w:color="auto" w:fill="auto"/>
        <w:bidi w:val="0"/>
        <w:jc w:val="left"/>
        <w:spacing w:before="0" w:after="0" w:line="322" w:lineRule="exact"/>
        <w:ind w:left="0" w:right="20" w:firstLine="920"/>
      </w:pPr>
      <w:r>
        <w:rPr>
          <w:lang w:val="ru-RU" w:eastAsia="ru-RU" w:bidi="ru-RU"/>
          <w:w w:val="100"/>
          <w:spacing w:val="0"/>
          <w:color w:val="000000"/>
          <w:position w:val="0"/>
        </w:rPr>
        <w:t>2. Признать в действиях аукционной комиссий Заказчика нарушение ч. 7, 8 ст.69 Закона о контрактной системе.</w:t>
      </w:r>
    </w:p>
    <w:p>
      <w:pPr>
        <w:pStyle w:val="Style10"/>
        <w:widowControl w:val="0"/>
        <w:keepNext w:val="0"/>
        <w:keepLines w:val="0"/>
        <w:shd w:val="clear" w:color="auto" w:fill="auto"/>
        <w:bidi w:val="0"/>
        <w:jc w:val="both"/>
        <w:spacing w:before="0" w:after="244" w:line="326" w:lineRule="exact"/>
        <w:ind w:left="0" w:right="20" w:firstLine="720"/>
      </w:pPr>
      <w:r>
        <w:rPr>
          <w:lang w:val="ru-RU" w:eastAsia="ru-RU" w:bidi="ru-RU"/>
          <w:w w:val="100"/>
          <w:spacing w:val="0"/>
          <w:color w:val="000000"/>
          <w:position w:val="0"/>
        </w:rPr>
        <w:t>3. Выдать Заказчику обязательное для исполнения предписание об устранении нарушений законодательства о контрактной системе.</w:t>
      </w:r>
    </w:p>
    <w:p>
      <w:pPr>
        <w:pStyle w:val="Style10"/>
        <w:widowControl w:val="0"/>
        <w:keepNext w:val="0"/>
        <w:keepLines w:val="0"/>
        <w:shd w:val="clear" w:color="auto" w:fill="auto"/>
        <w:bidi w:val="0"/>
        <w:jc w:val="both"/>
        <w:spacing w:before="0" w:after="0" w:line="322"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установленном гл. 24 АПК РФ.</w:t>
      </w:r>
    </w:p>
    <w:p>
      <w:pPr>
        <w:pStyle w:val="Style10"/>
        <w:tabs>
          <w:tab w:leader="none" w:pos="7469"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Д.С. Грешнева</w:t>
      </w:r>
    </w:p>
    <w:p>
      <w:pPr>
        <w:pStyle w:val="Style10"/>
        <w:tabs>
          <w:tab w:leader="none" w:pos="7469"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Члены Комиссии</w:t>
        <w:tab/>
        <w:t>П.А. Ступченко</w:t>
      </w:r>
    </w:p>
    <w:p>
      <w:pPr>
        <w:pStyle w:val="Style10"/>
        <w:widowControl w:val="0"/>
        <w:keepNext w:val="0"/>
        <w:keepLines w:val="0"/>
        <w:shd w:val="clear" w:color="auto" w:fill="auto"/>
        <w:bidi w:val="0"/>
        <w:jc w:val="left"/>
        <w:spacing w:before="0" w:after="5090" w:line="643" w:lineRule="exact"/>
        <w:ind w:left="7520" w:right="0" w:firstLine="0"/>
      </w:pPr>
      <w:r>
        <w:rPr>
          <w:lang w:val="ru-RU" w:eastAsia="ru-RU" w:bidi="ru-RU"/>
          <w:w w:val="100"/>
          <w:spacing w:val="0"/>
          <w:color w:val="000000"/>
          <w:position w:val="0"/>
        </w:rPr>
        <w:t>А.З. Касимова</w:t>
      </w:r>
    </w:p>
    <w:p>
      <w:pPr>
        <w:pStyle w:val="Style57"/>
        <w:widowControl w:val="0"/>
        <w:keepNext w:val="0"/>
        <w:keepLines w:val="0"/>
        <w:shd w:val="clear" w:color="auto" w:fill="auto"/>
        <w:bidi w:val="0"/>
        <w:jc w:val="left"/>
        <w:spacing w:before="0" w:after="0"/>
        <w:ind w:left="0" w:right="8100" w:firstLine="0"/>
      </w:pPr>
      <w:r>
        <w:rPr>
          <w:lang w:val="ru-RU" w:eastAsia="ru-RU" w:bidi="ru-RU"/>
          <w:w w:val="100"/>
          <w:spacing w:val="0"/>
          <w:color w:val="000000"/>
          <w:position w:val="0"/>
        </w:rPr>
        <w:t xml:space="preserve">Исп. Ступченко П.А. </w:t>
      </w:r>
      <w:r>
        <w:fldChar w:fldCharType="begin"/>
      </w:r>
      <w:r>
        <w:rPr>
          <w:color w:val="000000"/>
        </w:rPr>
        <w:instrText> HYPERLINK "mailto:to77-stupchenko@fas.gov.ru" </w:instrText>
      </w:r>
      <w:r>
        <w:fldChar w:fldCharType="separate"/>
      </w:r>
      <w:r>
        <w:rPr>
          <w:rStyle w:val="Hyperlink"/>
          <w:w w:val="100"/>
          <w:spacing w:val="0"/>
          <w:position w:val="0"/>
        </w:rPr>
        <w:t>to77-stupchenko@fas.gov.ru</w:t>
      </w:r>
      <w:r>
        <w:fldChar w:fldCharType="end"/>
      </w:r>
    </w:p>
    <w:sectPr>
      <w:footnotePr>
        <w:pos w:val="pageBottom"/>
        <w:numFmt w:val="decimal"/>
        <w:numRestart w:val="continuous"/>
      </w:footnotePr>
      <w:type w:val="continuous"/>
      <w:pgSz w:w="11906" w:h="16838"/>
      <w:pgMar w:top="1224" w:left="860" w:right="826" w:bottom="13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6.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8.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 Exact"/>
    <w:basedOn w:val="DefaultParagraphFont"/>
    <w:rPr>
      <w:lang w:val="en-US" w:eastAsia="en-US" w:bidi="en-US"/>
      <w:b w:val="0"/>
      <w:bCs w:val="0"/>
      <w:i w:val="0"/>
      <w:iCs w:val="0"/>
      <w:u w:val="none"/>
      <w:strike w:val="0"/>
      <w:smallCaps w:val="0"/>
      <w:sz w:val="17"/>
      <w:szCs w:val="17"/>
      <w:rFonts w:ascii="Arial" w:eastAsia="Arial" w:hAnsi="Arial" w:cs="Arial"/>
      <w:spacing w:val="1"/>
    </w:rPr>
  </w:style>
  <w:style w:type="character" w:customStyle="1" w:styleId="CharStyle7">
    <w:name w:val="Основной текст (3) Exact"/>
    <w:basedOn w:val="CharStyle27"/>
    <w:rPr>
      <w:sz w:val="17"/>
      <w:szCs w:val="17"/>
      <w:spacing w:val="1"/>
    </w:rPr>
  </w:style>
  <w:style w:type="character" w:customStyle="1" w:styleId="CharStyle8">
    <w:name w:val="Основной текст (3) Exact"/>
    <w:basedOn w:val="CharStyle27"/>
    <w:rPr>
      <w:lang w:val="en-US" w:eastAsia="en-US" w:bidi="en-US"/>
      <w:sz w:val="17"/>
      <w:szCs w:val="17"/>
      <w:spacing w:val="1"/>
    </w:rPr>
  </w:style>
  <w:style w:type="character" w:customStyle="1" w:styleId="CharStyle9">
    <w:name w:val="Основной текст (3) Exact"/>
    <w:basedOn w:val="CharStyle27"/>
    <w:rPr>
      <w:lang w:val="en-US" w:eastAsia="en-US" w:bidi="en-US"/>
      <w:sz w:val="17"/>
      <w:szCs w:val="17"/>
      <w:spacing w:val="1"/>
    </w:rPr>
  </w:style>
  <w:style w:type="character" w:customStyle="1" w:styleId="CharStyle11">
    <w:name w:val="Основной текст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2)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5">
    <w:name w:val="Заголовок №4_"/>
    <w:basedOn w:val="DefaultParagraphFont"/>
    <w:link w:val="Style14"/>
    <w:rPr>
      <w:b/>
      <w:bCs/>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w:basedOn w:val="CharStyle11"/>
    <w:rPr>
      <w:lang w:val="ru-RU" w:eastAsia="ru-RU" w:bidi="ru-RU"/>
      <w:u w:val="single"/>
      <w:w w:val="100"/>
      <w:spacing w:val="0"/>
      <w:color w:val="000000"/>
      <w:position w:val="0"/>
    </w:rPr>
  </w:style>
  <w:style w:type="character" w:customStyle="1" w:styleId="CharStyle17">
    <w:name w:val="Основной текст"/>
    <w:basedOn w:val="CharStyle11"/>
    <w:rPr>
      <w:lang w:val="en-US" w:eastAsia="en-US" w:bidi="en-US"/>
      <w:u w:val="single"/>
      <w:w w:val="100"/>
      <w:spacing w:val="0"/>
      <w:color w:val="000000"/>
      <w:position w:val="0"/>
    </w:rPr>
  </w:style>
  <w:style w:type="character" w:customStyle="1" w:styleId="CharStyle19">
    <w:name w:val="Заголовок №2_"/>
    <w:basedOn w:val="DefaultParagraphFont"/>
    <w:link w:val="Style18"/>
    <w:rPr>
      <w:lang w:val="en-US" w:eastAsia="en-US" w:bidi="en-US"/>
      <w:b/>
      <w:bCs/>
      <w:i w:val="0"/>
      <w:iCs w:val="0"/>
      <w:u w:val="none"/>
      <w:strike w:val="0"/>
      <w:smallCaps w:val="0"/>
      <w:sz w:val="48"/>
      <w:szCs w:val="48"/>
      <w:rFonts w:ascii="Arial" w:eastAsia="Arial" w:hAnsi="Arial" w:cs="Arial"/>
      <w:spacing w:val="10"/>
    </w:rPr>
  </w:style>
  <w:style w:type="character" w:customStyle="1" w:styleId="CharStyle20">
    <w:name w:val="Заголовок №2"/>
    <w:basedOn w:val="CharStyle19"/>
    <w:rPr>
      <w:w w:val="100"/>
      <w:color w:val="000000"/>
      <w:position w:val="0"/>
    </w:rPr>
  </w:style>
  <w:style w:type="character" w:customStyle="1" w:styleId="CharStyle21">
    <w:name w:val="Заголовок №2 + 38 pt,Курсив,Интервал -2 pt"/>
    <w:basedOn w:val="CharStyle19"/>
    <w:rPr>
      <w:i/>
      <w:iCs/>
      <w:sz w:val="76"/>
      <w:szCs w:val="76"/>
      <w:w w:val="100"/>
      <w:spacing w:val="-50"/>
      <w:color w:val="000000"/>
      <w:position w:val="0"/>
    </w:rPr>
  </w:style>
  <w:style w:type="character" w:customStyle="1" w:styleId="CharStyle22">
    <w:name w:val="Заголовок №2"/>
    <w:basedOn w:val="CharStyle19"/>
    <w:rPr>
      <w:w w:val="100"/>
      <w:color w:val="000000"/>
      <w:position w:val="0"/>
    </w:rPr>
  </w:style>
  <w:style w:type="character" w:customStyle="1" w:styleId="CharStyle24">
    <w:name w:val="Заголовок №3_"/>
    <w:basedOn w:val="DefaultParagraphFont"/>
    <w:link w:val="Style23"/>
    <w:rPr>
      <w:lang w:val="en-US" w:eastAsia="en-US" w:bidi="en-US"/>
      <w:b w:val="0"/>
      <w:bCs w:val="0"/>
      <w:i w:val="0"/>
      <w:iCs w:val="0"/>
      <w:u w:val="none"/>
      <w:strike w:val="0"/>
      <w:smallCaps w:val="0"/>
      <w:sz w:val="38"/>
      <w:szCs w:val="38"/>
      <w:rFonts w:ascii="Arial" w:eastAsia="Arial" w:hAnsi="Arial" w:cs="Arial"/>
      <w:w w:val="150"/>
      <w:spacing w:val="-40"/>
    </w:rPr>
  </w:style>
  <w:style w:type="character" w:customStyle="1" w:styleId="CharStyle25">
    <w:name w:val="Заголовок №3"/>
    <w:basedOn w:val="CharStyle24"/>
    <w:rPr>
      <w:color w:val="000000"/>
      <w:position w:val="0"/>
    </w:rPr>
  </w:style>
  <w:style w:type="character" w:customStyle="1" w:styleId="CharStyle26">
    <w:name w:val="Заголовок №3 + Интервал 0 pt"/>
    <w:basedOn w:val="CharStyle24"/>
    <w:rPr>
      <w:spacing w:val="0"/>
      <w:color w:val="000000"/>
      <w:position w:val="0"/>
    </w:rPr>
  </w:style>
  <w:style w:type="character" w:customStyle="1" w:styleId="CharStyle27">
    <w:name w:val="Основной текст (3)_"/>
    <w:basedOn w:val="DefaultParagraphFont"/>
    <w:link w:val="Style5"/>
    <w:rPr>
      <w:b w:val="0"/>
      <w:bCs w:val="0"/>
      <w:i w:val="0"/>
      <w:iCs w:val="0"/>
      <w:u w:val="none"/>
      <w:strike w:val="0"/>
      <w:smallCaps w:val="0"/>
      <w:sz w:val="18"/>
      <w:szCs w:val="18"/>
      <w:rFonts w:ascii="Arial" w:eastAsia="Arial" w:hAnsi="Arial" w:cs="Arial"/>
    </w:rPr>
  </w:style>
  <w:style w:type="character" w:customStyle="1" w:styleId="CharStyle28">
    <w:name w:val="Основной текст (3)"/>
    <w:basedOn w:val="CharStyle27"/>
    <w:rPr>
      <w:lang w:val="ru-RU" w:eastAsia="ru-RU" w:bidi="ru-RU"/>
      <w:w w:val="100"/>
      <w:spacing w:val="0"/>
      <w:color w:val="000000"/>
      <w:position w:val="0"/>
    </w:rPr>
  </w:style>
  <w:style w:type="character" w:customStyle="1" w:styleId="CharStyle29">
    <w:name w:val="Основной текст (3)"/>
    <w:basedOn w:val="CharStyle27"/>
    <w:rPr>
      <w:lang w:val="ru-RU" w:eastAsia="ru-RU" w:bidi="ru-RU"/>
      <w:w w:val="100"/>
      <w:spacing w:val="0"/>
      <w:color w:val="000000"/>
      <w:position w:val="0"/>
    </w:rPr>
  </w:style>
  <w:style w:type="character" w:customStyle="1" w:styleId="CharStyle30">
    <w:name w:val="Основной текст (3)"/>
    <w:basedOn w:val="CharStyle27"/>
    <w:rPr>
      <w:lang w:val="en-US" w:eastAsia="en-US" w:bidi="en-US"/>
      <w:w w:val="100"/>
      <w:spacing w:val="0"/>
      <w:color w:val="000000"/>
      <w:position w:val="0"/>
    </w:rPr>
  </w:style>
  <w:style w:type="character" w:customStyle="1" w:styleId="CharStyle31">
    <w:name w:val="Основной текст (3)"/>
    <w:basedOn w:val="CharStyle27"/>
    <w:rPr>
      <w:lang w:val="ru-RU" w:eastAsia="ru-RU" w:bidi="ru-RU"/>
      <w:w w:val="100"/>
      <w:spacing w:val="0"/>
      <w:color w:val="000000"/>
      <w:position w:val="0"/>
    </w:rPr>
  </w:style>
  <w:style w:type="character" w:customStyle="1" w:styleId="CharStyle33">
    <w:name w:val="Основной текст (4)_"/>
    <w:basedOn w:val="DefaultParagraphFont"/>
    <w:link w:val="Style32"/>
    <w:rPr>
      <w:b w:val="0"/>
      <w:bCs w:val="0"/>
      <w:i w:val="0"/>
      <w:iCs w:val="0"/>
      <w:u w:val="none"/>
      <w:strike w:val="0"/>
      <w:smallCaps w:val="0"/>
      <w:sz w:val="18"/>
      <w:szCs w:val="18"/>
      <w:rFonts w:ascii="Times New Roman" w:eastAsia="Times New Roman" w:hAnsi="Times New Roman" w:cs="Times New Roman"/>
      <w:spacing w:val="20"/>
    </w:rPr>
  </w:style>
  <w:style w:type="character" w:customStyle="1" w:styleId="CharStyle34">
    <w:name w:val="Основной текст (4)"/>
    <w:basedOn w:val="CharStyle33"/>
    <w:rPr>
      <w:lang w:val="ru-RU" w:eastAsia="ru-RU" w:bidi="ru-RU"/>
      <w:w w:val="100"/>
      <w:color w:val="000000"/>
      <w:position w:val="0"/>
    </w:rPr>
  </w:style>
  <w:style w:type="character" w:customStyle="1" w:styleId="CharStyle36">
    <w:name w:val="Основной текст (5)_"/>
    <w:basedOn w:val="DefaultParagraphFont"/>
    <w:link w:val="Style35"/>
    <w:rPr>
      <w:lang w:val="en-US" w:eastAsia="en-US" w:bidi="en-US"/>
      <w:b w:val="0"/>
      <w:bCs w:val="0"/>
      <w:i w:val="0"/>
      <w:iCs w:val="0"/>
      <w:u w:val="none"/>
      <w:strike w:val="0"/>
      <w:smallCaps w:val="0"/>
      <w:sz w:val="15"/>
      <w:szCs w:val="15"/>
      <w:rFonts w:ascii="Arial" w:eastAsia="Arial" w:hAnsi="Arial" w:cs="Arial"/>
    </w:rPr>
  </w:style>
  <w:style w:type="character" w:customStyle="1" w:styleId="CharStyle37">
    <w:name w:val="Основной текст (5)"/>
    <w:basedOn w:val="CharStyle36"/>
    <w:rPr>
      <w:lang w:val="ru-RU" w:eastAsia="ru-RU" w:bidi="ru-RU"/>
      <w:w w:val="100"/>
      <w:spacing w:val="0"/>
      <w:color w:val="000000"/>
      <w:position w:val="0"/>
    </w:rPr>
  </w:style>
  <w:style w:type="character" w:customStyle="1" w:styleId="CharStyle38">
    <w:name w:val="Основной текст (5)"/>
    <w:basedOn w:val="CharStyle36"/>
    <w:rPr>
      <w:lang w:val="ru-RU" w:eastAsia="ru-RU" w:bidi="ru-RU"/>
      <w:w w:val="100"/>
      <w:spacing w:val="0"/>
      <w:color w:val="000000"/>
      <w:position w:val="0"/>
    </w:rPr>
  </w:style>
  <w:style w:type="character" w:customStyle="1" w:styleId="CharStyle39">
    <w:name w:val="Основной текст (5)"/>
    <w:basedOn w:val="CharStyle36"/>
    <w:rPr>
      <w:w w:val="100"/>
      <w:spacing w:val="0"/>
      <w:color w:val="000000"/>
      <w:position w:val="0"/>
    </w:rPr>
  </w:style>
  <w:style w:type="character" w:customStyle="1" w:styleId="CharStyle40">
    <w:name w:val="Основной текст (5)"/>
    <w:basedOn w:val="CharStyle36"/>
    <w:rPr>
      <w:w w:val="100"/>
      <w:spacing w:val="0"/>
      <w:color w:val="000000"/>
      <w:position w:val="0"/>
    </w:rPr>
  </w:style>
  <w:style w:type="character" w:customStyle="1" w:styleId="CharStyle41">
    <w:name w:val="Основной текст (5)"/>
    <w:basedOn w:val="CharStyle36"/>
    <w:rPr>
      <w:w w:val="100"/>
      <w:spacing w:val="0"/>
      <w:color w:val="000000"/>
      <w:position w:val="0"/>
    </w:rPr>
  </w:style>
  <w:style w:type="character" w:customStyle="1" w:styleId="CharStyle42">
    <w:name w:val="Основной текст"/>
    <w:basedOn w:val="CharStyle11"/>
    <w:rPr>
      <w:lang w:val="1024"/>
      <w:w w:val="100"/>
      <w:spacing w:val="0"/>
      <w:color w:val="000000"/>
      <w:position w:val="0"/>
    </w:rPr>
  </w:style>
  <w:style w:type="character" w:customStyle="1" w:styleId="CharStyle44">
    <w:name w:val="Заголовок №1_"/>
    <w:basedOn w:val="DefaultParagraphFont"/>
    <w:link w:val="Style43"/>
    <w:rPr>
      <w:lang w:val="en-US" w:eastAsia="en-US" w:bidi="en-US"/>
      <w:b/>
      <w:bCs/>
      <w:i w:val="0"/>
      <w:iCs w:val="0"/>
      <w:u w:val="none"/>
      <w:strike w:val="0"/>
      <w:smallCaps w:val="0"/>
      <w:sz w:val="124"/>
      <w:szCs w:val="124"/>
      <w:rFonts w:ascii="Arial" w:eastAsia="Arial" w:hAnsi="Arial" w:cs="Arial"/>
    </w:rPr>
  </w:style>
  <w:style w:type="character" w:customStyle="1" w:styleId="CharStyle45">
    <w:name w:val="Заголовок №1"/>
    <w:basedOn w:val="CharStyle44"/>
    <w:rPr>
      <w:w w:val="100"/>
      <w:spacing w:val="0"/>
      <w:color w:val="000000"/>
      <w:position w:val="0"/>
    </w:rPr>
  </w:style>
  <w:style w:type="character" w:customStyle="1" w:styleId="CharStyle47">
    <w:name w:val="Основной текст (6)_"/>
    <w:basedOn w:val="DefaultParagraphFont"/>
    <w:link w:val="Style46"/>
    <w:rPr>
      <w:b/>
      <w:bCs/>
      <w:i/>
      <w:iCs/>
      <w:u w:val="none"/>
      <w:strike w:val="0"/>
      <w:smallCaps w:val="0"/>
      <w:sz w:val="15"/>
      <w:szCs w:val="15"/>
      <w:rFonts w:ascii="Arial" w:eastAsia="Arial" w:hAnsi="Arial" w:cs="Arial"/>
    </w:rPr>
  </w:style>
  <w:style w:type="character" w:customStyle="1" w:styleId="CharStyle48">
    <w:name w:val="Основной текст (6) + Не курсив"/>
    <w:basedOn w:val="CharStyle47"/>
    <w:rPr>
      <w:lang w:val="ru-RU" w:eastAsia="ru-RU" w:bidi="ru-RU"/>
      <w:i/>
      <w:iCs/>
      <w:w w:val="100"/>
      <w:spacing w:val="0"/>
      <w:color w:val="000000"/>
      <w:position w:val="0"/>
    </w:rPr>
  </w:style>
  <w:style w:type="character" w:customStyle="1" w:styleId="CharStyle49">
    <w:name w:val="Основной текст (6)"/>
    <w:basedOn w:val="CharStyle47"/>
    <w:rPr>
      <w:lang w:val="ru-RU" w:eastAsia="ru-RU" w:bidi="ru-RU"/>
      <w:w w:val="100"/>
      <w:spacing w:val="0"/>
      <w:color w:val="000000"/>
      <w:position w:val="0"/>
    </w:rPr>
  </w:style>
  <w:style w:type="character" w:customStyle="1" w:styleId="CharStyle50">
    <w:name w:val="Основной текст (6) + Не курсив"/>
    <w:basedOn w:val="CharStyle47"/>
    <w:rPr>
      <w:lang w:val="ru-RU" w:eastAsia="ru-RU" w:bidi="ru-RU"/>
      <w:i/>
      <w:iCs/>
      <w:w w:val="100"/>
      <w:spacing w:val="0"/>
      <w:color w:val="000000"/>
      <w:position w:val="0"/>
    </w:rPr>
  </w:style>
  <w:style w:type="character" w:customStyle="1" w:styleId="CharStyle51">
    <w:name w:val="Основной текст (6)"/>
    <w:basedOn w:val="CharStyle47"/>
    <w:rPr>
      <w:lang w:val="ru-RU" w:eastAsia="ru-RU" w:bidi="ru-RU"/>
      <w:w w:val="100"/>
      <w:spacing w:val="0"/>
      <w:color w:val="000000"/>
      <w:position w:val="0"/>
    </w:rPr>
  </w:style>
  <w:style w:type="character" w:customStyle="1" w:styleId="CharStyle53">
    <w:name w:val="Основной текст (7)_"/>
    <w:basedOn w:val="DefaultParagraphFont"/>
    <w:link w:val="Style52"/>
    <w:rPr>
      <w:b/>
      <w:bCs/>
      <w:i w:val="0"/>
      <w:iCs w:val="0"/>
      <w:u w:val="none"/>
      <w:strike w:val="0"/>
      <w:smallCaps w:val="0"/>
      <w:sz w:val="15"/>
      <w:szCs w:val="15"/>
      <w:rFonts w:ascii="Arial" w:eastAsia="Arial" w:hAnsi="Arial" w:cs="Arial"/>
    </w:rPr>
  </w:style>
  <w:style w:type="character" w:customStyle="1" w:styleId="CharStyle54">
    <w:name w:val="Основной текст (7)"/>
    <w:basedOn w:val="CharStyle53"/>
    <w:rPr>
      <w:lang w:val="ru-RU" w:eastAsia="ru-RU" w:bidi="ru-RU"/>
      <w:w w:val="100"/>
      <w:spacing w:val="0"/>
      <w:color w:val="000000"/>
      <w:position w:val="0"/>
    </w:rPr>
  </w:style>
  <w:style w:type="character" w:customStyle="1" w:styleId="CharStyle55">
    <w:name w:val="Основной текст (7)"/>
    <w:basedOn w:val="CharStyle53"/>
    <w:rPr>
      <w:lang w:val="ru-RU" w:eastAsia="ru-RU" w:bidi="ru-RU"/>
      <w:w w:val="100"/>
      <w:spacing w:val="0"/>
      <w:color w:val="000000"/>
      <w:position w:val="0"/>
    </w:rPr>
  </w:style>
  <w:style w:type="character" w:customStyle="1" w:styleId="CharStyle56">
    <w:name w:val="Основной текст (7)"/>
    <w:basedOn w:val="CharStyle53"/>
    <w:rPr>
      <w:lang w:val="ru-RU" w:eastAsia="ru-RU" w:bidi="ru-RU"/>
      <w:w w:val="100"/>
      <w:spacing w:val="0"/>
      <w:color w:val="000000"/>
      <w:position w:val="0"/>
    </w:rPr>
  </w:style>
  <w:style w:type="character" w:customStyle="1" w:styleId="CharStyle58">
    <w:name w:val="Основной текст (8)_"/>
    <w:basedOn w:val="DefaultParagraphFont"/>
    <w:link w:val="Style57"/>
    <w:rPr>
      <w:lang w:val="en-US" w:eastAsia="en-US" w:bidi="en-US"/>
      <w:b w:val="0"/>
      <w:bCs w:val="0"/>
      <w:i w:val="0"/>
      <w:iCs w:val="0"/>
      <w:u w:val="none"/>
      <w:strike w:val="0"/>
      <w:smallCaps w:val="0"/>
      <w:sz w:val="17"/>
      <w:szCs w:val="17"/>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27"/>
    <w:pPr>
      <w:widowControl w:val="0"/>
      <w:shd w:val="clear" w:color="auto" w:fill="FFFFFF"/>
      <w:jc w:val="both"/>
      <w:spacing w:before="120" w:after="120" w:line="0" w:lineRule="exact"/>
    </w:pPr>
    <w:rPr>
      <w:b w:val="0"/>
      <w:bCs w:val="0"/>
      <w:i w:val="0"/>
      <w:iCs w:val="0"/>
      <w:u w:val="none"/>
      <w:strike w:val="0"/>
      <w:smallCaps w:val="0"/>
      <w:sz w:val="18"/>
      <w:szCs w:val="18"/>
      <w:rFonts w:ascii="Arial" w:eastAsia="Arial" w:hAnsi="Arial" w:cs="Arial"/>
    </w:rPr>
  </w:style>
  <w:style w:type="paragraph" w:customStyle="1" w:styleId="Style10">
    <w:name w:val="Основной текст"/>
    <w:basedOn w:val="Normal"/>
    <w:link w:val="CharStyle11"/>
    <w:pPr>
      <w:widowControl w:val="0"/>
      <w:shd w:val="clear" w:color="auto" w:fill="FFFFFF"/>
      <w:spacing w:after="3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Заголовок №4"/>
    <w:basedOn w:val="Normal"/>
    <w:link w:val="CharStyle15"/>
    <w:pPr>
      <w:widowControl w:val="0"/>
      <w:shd w:val="clear" w:color="auto" w:fill="FFFFFF"/>
      <w:outlineLvl w:val="3"/>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Заголовок №2"/>
    <w:basedOn w:val="Normal"/>
    <w:link w:val="CharStyle19"/>
    <w:pPr>
      <w:widowControl w:val="0"/>
      <w:shd w:val="clear" w:color="auto" w:fill="FFFFFF"/>
      <w:outlineLvl w:val="1"/>
      <w:spacing w:before="660" w:line="504" w:lineRule="exact"/>
      <w:ind w:hanging="1380"/>
    </w:pPr>
    <w:rPr>
      <w:lang w:val="en-US" w:eastAsia="en-US" w:bidi="en-US"/>
      <w:b/>
      <w:bCs/>
      <w:i w:val="0"/>
      <w:iCs w:val="0"/>
      <w:u w:val="none"/>
      <w:strike w:val="0"/>
      <w:smallCaps w:val="0"/>
      <w:sz w:val="48"/>
      <w:szCs w:val="48"/>
      <w:rFonts w:ascii="Arial" w:eastAsia="Arial" w:hAnsi="Arial" w:cs="Arial"/>
      <w:spacing w:val="10"/>
    </w:rPr>
  </w:style>
  <w:style w:type="paragraph" w:customStyle="1" w:styleId="Style23">
    <w:name w:val="Заголовок №3"/>
    <w:basedOn w:val="Normal"/>
    <w:link w:val="CharStyle24"/>
    <w:pPr>
      <w:widowControl w:val="0"/>
      <w:shd w:val="clear" w:color="auto" w:fill="FFFFFF"/>
      <w:outlineLvl w:val="2"/>
      <w:spacing w:after="120" w:line="0" w:lineRule="exact"/>
      <w:ind w:hanging="3140"/>
    </w:pPr>
    <w:rPr>
      <w:lang w:val="en-US" w:eastAsia="en-US" w:bidi="en-US"/>
      <w:b w:val="0"/>
      <w:bCs w:val="0"/>
      <w:i w:val="0"/>
      <w:iCs w:val="0"/>
      <w:u w:val="none"/>
      <w:strike w:val="0"/>
      <w:smallCaps w:val="0"/>
      <w:sz w:val="38"/>
      <w:szCs w:val="38"/>
      <w:rFonts w:ascii="Arial" w:eastAsia="Arial" w:hAnsi="Arial" w:cs="Arial"/>
      <w:w w:val="150"/>
      <w:spacing w:val="-40"/>
    </w:rPr>
  </w:style>
  <w:style w:type="paragraph" w:customStyle="1" w:styleId="Style32">
    <w:name w:val="Основной текст (4)"/>
    <w:basedOn w:val="Normal"/>
    <w:link w:val="CharStyle33"/>
    <w:pPr>
      <w:widowControl w:val="0"/>
      <w:shd w:val="clear" w:color="auto" w:fill="FFFFFF"/>
      <w:jc w:val="both"/>
      <w:spacing w:before="120" w:after="240" w:line="0" w:lineRule="exact"/>
    </w:pPr>
    <w:rPr>
      <w:b w:val="0"/>
      <w:bCs w:val="0"/>
      <w:i w:val="0"/>
      <w:iCs w:val="0"/>
      <w:u w:val="none"/>
      <w:strike w:val="0"/>
      <w:smallCaps w:val="0"/>
      <w:sz w:val="18"/>
      <w:szCs w:val="18"/>
      <w:rFonts w:ascii="Times New Roman" w:eastAsia="Times New Roman" w:hAnsi="Times New Roman" w:cs="Times New Roman"/>
      <w:spacing w:val="20"/>
    </w:rPr>
  </w:style>
  <w:style w:type="paragraph" w:customStyle="1" w:styleId="Style35">
    <w:name w:val="Основной текст (5)"/>
    <w:basedOn w:val="Normal"/>
    <w:link w:val="CharStyle36"/>
    <w:pPr>
      <w:widowControl w:val="0"/>
      <w:shd w:val="clear" w:color="auto" w:fill="FFFFFF"/>
      <w:jc w:val="both"/>
      <w:spacing w:before="240" w:after="120" w:line="192" w:lineRule="exact"/>
    </w:pPr>
    <w:rPr>
      <w:lang w:val="en-US" w:eastAsia="en-US" w:bidi="en-US"/>
      <w:b w:val="0"/>
      <w:bCs w:val="0"/>
      <w:i w:val="0"/>
      <w:iCs w:val="0"/>
      <w:u w:val="none"/>
      <w:strike w:val="0"/>
      <w:smallCaps w:val="0"/>
      <w:sz w:val="15"/>
      <w:szCs w:val="15"/>
      <w:rFonts w:ascii="Arial" w:eastAsia="Arial" w:hAnsi="Arial" w:cs="Arial"/>
    </w:rPr>
  </w:style>
  <w:style w:type="paragraph" w:customStyle="1" w:styleId="Style43">
    <w:name w:val="Заголовок №1"/>
    <w:basedOn w:val="Normal"/>
    <w:link w:val="CharStyle44"/>
    <w:pPr>
      <w:widowControl w:val="0"/>
      <w:shd w:val="clear" w:color="auto" w:fill="FFFFFF"/>
      <w:outlineLvl w:val="0"/>
      <w:spacing w:after="240" w:line="0" w:lineRule="exact"/>
    </w:pPr>
    <w:rPr>
      <w:lang w:val="en-US" w:eastAsia="en-US" w:bidi="en-US"/>
      <w:b/>
      <w:bCs/>
      <w:i w:val="0"/>
      <w:iCs w:val="0"/>
      <w:u w:val="none"/>
      <w:strike w:val="0"/>
      <w:smallCaps w:val="0"/>
      <w:sz w:val="124"/>
      <w:szCs w:val="124"/>
      <w:rFonts w:ascii="Arial" w:eastAsia="Arial" w:hAnsi="Arial" w:cs="Arial"/>
    </w:rPr>
  </w:style>
  <w:style w:type="paragraph" w:customStyle="1" w:styleId="Style46">
    <w:name w:val="Основной текст (6)"/>
    <w:basedOn w:val="Normal"/>
    <w:link w:val="CharStyle47"/>
    <w:pPr>
      <w:widowControl w:val="0"/>
      <w:shd w:val="clear" w:color="auto" w:fill="FFFFFF"/>
      <w:spacing w:line="187" w:lineRule="exact"/>
    </w:pPr>
    <w:rPr>
      <w:b/>
      <w:bCs/>
      <w:i/>
      <w:iCs/>
      <w:u w:val="none"/>
      <w:strike w:val="0"/>
      <w:smallCaps w:val="0"/>
      <w:sz w:val="15"/>
      <w:szCs w:val="15"/>
      <w:rFonts w:ascii="Arial" w:eastAsia="Arial" w:hAnsi="Arial" w:cs="Arial"/>
    </w:rPr>
  </w:style>
  <w:style w:type="paragraph" w:customStyle="1" w:styleId="Style52">
    <w:name w:val="Основной текст (7)"/>
    <w:basedOn w:val="Normal"/>
    <w:link w:val="CharStyle53"/>
    <w:pPr>
      <w:widowControl w:val="0"/>
      <w:shd w:val="clear" w:color="auto" w:fill="FFFFFF"/>
      <w:spacing w:line="187" w:lineRule="exact"/>
    </w:pPr>
    <w:rPr>
      <w:b/>
      <w:bCs/>
      <w:i w:val="0"/>
      <w:iCs w:val="0"/>
      <w:u w:val="none"/>
      <w:strike w:val="0"/>
      <w:smallCaps w:val="0"/>
      <w:sz w:val="15"/>
      <w:szCs w:val="15"/>
      <w:rFonts w:ascii="Arial" w:eastAsia="Arial" w:hAnsi="Arial" w:cs="Arial"/>
    </w:rPr>
  </w:style>
  <w:style w:type="paragraph" w:customStyle="1" w:styleId="Style57">
    <w:name w:val="Основной текст (8)"/>
    <w:basedOn w:val="Normal"/>
    <w:link w:val="CharStyle58"/>
    <w:pPr>
      <w:widowControl w:val="0"/>
      <w:shd w:val="clear" w:color="auto" w:fill="FFFFFF"/>
      <w:spacing w:before="4740" w:line="206" w:lineRule="exact"/>
    </w:pPr>
    <w:rPr>
      <w:lang w:val="en-US" w:eastAsia="en-US" w:bidi="en-US"/>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