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ФЕДЕРАЛЬНАЯ АНТИМОНОПОЛЬНАЯ СЛУЖБА </w:t>
      </w:r>
      <w:r>
        <w:rPr>
          <w:rStyle w:val="CharStyle5"/>
        </w:rPr>
        <w:t>УПРАВЛЕНИЕ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35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Республике Калмыкия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Лермонтова, д. 4, г. Элиста, 358000 тел./факс.:(84722) 4-13-33 </w:t>
      </w:r>
      <w:r>
        <w:rPr>
          <w:rStyle w:val="CharStyle10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"mailto:to08@fas.gov.ru" </w:instrText>
      </w:r>
      <w:r>
        <w:fldChar w:fldCharType="separate"/>
      </w:r>
      <w:r>
        <w:rPr>
          <w:rStyle w:val="Hyperlink"/>
        </w:rPr>
        <w:t>to</w:t>
      </w:r>
      <w:r>
        <w:rPr>
          <w:rStyle w:val="Hyperlink"/>
        </w:rPr>
        <w:t>08</w:t>
      </w:r>
      <w:r>
        <w:rPr>
          <w:rStyle w:val="Hyperlink"/>
        </w:rPr>
        <w:t>@fas.gov.ru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6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396" w:left="1417" w:right="1176" w:bottom="960" w:header="0" w:footer="3" w:gutter="0"/>
          <w:rtlGutter w:val="0"/>
          <w:cols w:num="2" w:space="720" w:equalWidth="0">
            <w:col w:w="3355" w:space="1850"/>
            <w:col w:w="4108"/>
          </w:cols>
          <w:noEndnote/>
          <w:docGrid w:linePitch="360"/>
        </w:sectPr>
      </w:pPr>
      <w:r>
        <w:rPr>
          <w:rStyle w:val="CharStyle13"/>
        </w:rPr>
        <w:t xml:space="preserve">ФЕДЕРАЛЬН АНТИМОНОПОЛЬН ЦЕРГЛЛТ </w:t>
      </w:r>
      <w:r>
        <w:rPr>
          <w:rStyle w:val="CharStyle14"/>
        </w:rPr>
        <w:t xml:space="preserve">Федеральн антимонопольн цергллтин Хальмг ТацЬчар УУЛДДГ ЗАЛЛТ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Лермонтова, уульнц, 4 гер, Элст балИсн, 358000 тел/факс: (84722)4-13-33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5"/>
        </w:rPr>
        <w:instrText> HYPERLINK "mailto:to08@fas.gov.ru" </w:instrText>
      </w:r>
      <w:r>
        <w:fldChar w:fldCharType="separate"/>
      </w:r>
      <w:r>
        <w:rPr>
          <w:rStyle w:val="Hyperlink"/>
        </w:rPr>
        <w:t>to08@fas.gov.ru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" w:after="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type w:val="continuous"/>
          <w:pgSz w:w="11906" w:h="16838"/>
          <w:pgMar w:top="1396" w:left="4221" w:right="3969" w:bottom="96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№ 008/06/64-20/2021</w:t>
      </w:r>
    </w:p>
    <w:p>
      <w:pPr>
        <w:widowControl w:val="0"/>
        <w:spacing w:line="61" w:lineRule="exact"/>
        <w:rPr>
          <w:sz w:val="5"/>
          <w:szCs w:val="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framePr w:h="205" w:wrap="around" w:hAnchor="margin" w:x="7765" w:y="4336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9"/>
          <w:spacing w:val="0"/>
        </w:rPr>
        <w:t>г. Элиста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21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18 февраля 2021 г.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28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Резолютивная часть решения объявлена 16.02.2021 г. Изготовлено в полном объеме 18.02.2021 г.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Калмыкия по контролю в сфере закупок товаров, работ, услуг для обеспечения государственных и муниципальных нужд (далее - Комиссия Калмыцкого У ФАС России) в составе: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Сангаджиева М.В. - председатель Комиссии, руководитель управления Калмыцкого УФАС России,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Мархадаева А.М. - член Комиссии, старший государственный инспектор Калмыцкого УФАС России,</w:t>
      </w:r>
    </w:p>
    <w:p>
      <w:pPr>
        <w:pStyle w:val="Style18"/>
        <w:tabs>
          <w:tab w:leader="none" w:pos="6424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Мукабенов Б.А. - член Комиссии, специалист 1 разряда Калмыцкого УФАС России, в присутствии следующих представителей посредством Видео-конференц связи: от уполномоченного органа Администрация города Элисты - Бутаев С.Д. (доверенность №ДТ-336/01-28 от 05.02.2021г.);</w:t>
        <w:tab/>
        <w:t>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Заказчика МБОУ «Элистинская классическая гимназия» - Шавгурова В.Ю. (доверенность № 1 от 11.02.2021г.);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Заявителя ИП Манжикова Е.Н. - Манжикова Елена Николаевна.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283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в открытом заседании жалобу ИП Манжиковой Е.Н.,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72" w:line="220" w:lineRule="exact"/>
        <w:ind w:left="4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Калмыцкое УФАС России 09.02.2021г. поступила жалоба от ИП Манжиковой Е.Н. (далее - Заявитель) на действия заказчика МБОУ «Элистинская классическая гимназия» при проведении электронной аукциона на организацию горячего питания, реестровый номер извещения № 0105300000721000012. Уполномоченный орган </w:t>
      </w:r>
      <w:r>
        <w:rPr>
          <w:rStyle w:val="CharStyle21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города Элисты.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считает, что документация Заказчика не соответствует требованиям Закона о контрактной системы.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03.02.2021 года Заказчиком на официальном сайте Российской Федерации в информационно-телекоммуникационной сети «Интернет» </w:t>
      </w:r>
      <w:r>
        <w:fldChar w:fldCharType="begin"/>
      </w:r>
      <w:r>
        <w:rPr>
          <w:rStyle w:val="CharStyle22"/>
        </w:rPr>
        <w:instrText> HYPERLINK "http://www.zakupki.gov.ru" </w:instrText>
      </w:r>
      <w:r>
        <w:fldChar w:fldCharType="separate"/>
      </w:r>
      <w:r>
        <w:rPr>
          <w:rStyle w:val="Hyperlink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извещении № 0105300000721000012 о проведении электронного аукциона на право заключения государственного контракта на организацию горячего питания.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- 734 580 (семьсот тридцать четыре тысячи пятьсот восемьдесят) руб. 00 коп.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окончания приема заявок: 11 февраля 2021 года время 00:01.</w:t>
      </w:r>
      <w:r>
        <w:br w:type="page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Уведомлением от 11.02.2021г. рассмотрение жалобы ИП Манжикова Е.Н. назначено на 15 февраля 2021 года в 14 часов 00 минут, а лица участвующие в деле надлежащим образом извещены о времени и месте рассмотрения жалобы ИП Манжикова Е.Н.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изучением материалов дела, Комиссия отложила рассмотрение на 16 февраля 2021 года в 14 часов 00 минут.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Калмыцкого УФАС России, рассмотрев довод, изложенный в жалобе заявителя, проанализировав письменные пояснения представленные уполномоченным органом, изучив материалы дела, а также результаты внеплановой проверки, проведенной в соответствии с п. 1 ч. 15 ст. 99 Закона о контрактной системе, Комиссия Калмыцкого УФАС России пришла к следующим выводам: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Заявитель указывает, что Заказчик нарушил Закона о контрактной системы, а именно в разделе 4 описания объекта закупки сказано, что при организации горячего питания будут использоваться предоставленные помещения. Так же п.4.1.13 проекта контракта содержится следующее: в период оказания услуг в счет цены контракта входит производить покраску стен, полов, лестничных проемов, плинтусов помещений пищеблока; проводить дизенфекцию в помещениях пищеблока; готовить помещения-пищеблока к приемке и сдаче при организации сезонных лагерей и приемке школы к началу нового учебного года. 05 февраля 2021 года Заказчиком было дано разъяснение положений документации, в котором говорилось, что приготовление пищи будет производиться в помещении школы, и что помещение пищеблока будет предоставляться на условиях аренды, но договор на аренду помещения пищеблока уже заключен со мной на основании Постановления № 2023 от 13.09.2018г и действует до 31.08.2023 года. Тогда каким образом заказчик собирается предоставить помещение пищеблока в аренду победителя аукцона.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38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Заказчика представил устные и письменные пояснения на рассмотрение жалобы, согласен с доводами Заявителя, считает жалобу обоснованной.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2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3-6 статьи 66 Закона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закупки, в том числе: "соответствие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закупки".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описанию объекта закупки Заказчика, под оказанием услуг по организации в 2021 учебном году питания понимаются услуги: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обеспечению горячим питанием обучающихся с 1 по 4 классы, предусматривающим наличие горячего блюда, не считая горячего напитка.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 п.2. Требования к оказанию услуг Описания объекта услуг установлено: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Организация питания обучающихся должна обеспечиваться в соответствии с государственными санитарно-эпидемиологическими правилами и нормативами, действующими на территории РФ.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Исполнитель в период оказания услуг должен: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-обеспечить наличие работающего холодильного оборудования, позволяющего хранить весь объем пищевых продуктов, требующих охлаждения (Федеральный закон от 30.03.1999 № 52-ФЗ «О санитарно-эпидемиологическом благополучии населения» (статья 15), санитарно- эпидемиологические правила СанПиН 2.3.2. 1324-03 (пункт 1.6, 3.3);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обеспечить наличие складских помещений, достаточных для хранения пищевых продуктов и обеспечивающих соответствующие условия в соответствии с требованиями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Федерального закона от 30.03.1999 №52-ФЗ «О санитарно-эцидемиологическом благополучии населения» (статья 15), санитарно-эпидемиологических правил СП 2.3.6.1066-01 (пункт 7), санитарно-эпидемиологических правил и нормативов СанПиН 2.3.2.1324-03 (пункты 1.6, 3.3);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обеспечить своевременное снабжение необходимыми продуктами питания, сырьем, полуфабрикатами в соответствии с примерным двухнедельным меню, а также их хранение.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Качество продуктов питания должно подтверждаться соответствующими документами: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изготовителя, поставщика пищевых продуктов, подтверждающими происхождение данных продуктов, декларации о соответствии (сертификаты соответствия), подтверждающие их качество и безопасность, а также принадлежность к определенной партии пищевых продуктов,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ветеринарно-санитарной экспертизы - на продукцию животноводства;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8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производить доставку продуктов питания специализированным транспортом, обеспечивающим их сохранность и качество, в соответствии с требованиями, установленными СанПиН 2.3.2.1324-03 (пункт 3.4.);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производить входной контроль поступающих продуктов питания, оперативный контроль в процессе их обработки и подготовки к реализации, направлять продовольственные товары, готовые блюда и кулинарные изделия сомнительного качества на лабораторные исследования, соответствие ГОСТам и ТУ, с предоставлением Заказчику результатов анализов;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обеспечивать питание детей по графику утвержденному сторонами;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обеспечить своевременное и обязательное прохождение работниками пищеблоков медицинских и профилактических осмотров;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закрепить лицо, ответственное за организацию обеспечения питания обучающихся, в обязанности которого должно входить осуществление контроля за качеством и безопасностью организованного питания;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расходовать электроэнергию, тепло, горячую и холодную воду, а также использовать переданное Исполнителю имущество, руководствуясь принципами рациональности, экономности и бережливости;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обеспечить содержание помещений пищеблоков и оборудования в надлежащем санитарном состоянии;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осуществлять за свой счет подготовку помещений столовой, а именно: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приобретать кухонную и столовую посуду, моющие и чистящие средства, санитарную и специальную одежду;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покраску плинтусов, подоконников, дверей, батарей (при необходимости);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в) ремонт и техническое обслуживание торгово-технологического оборудования, переданного Заказчиком по акту приема-передачи;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г) проводить государственную поверку весоизмерительных приборов.</w:t>
      </w:r>
    </w:p>
    <w:p>
      <w:pPr>
        <w:pStyle w:val="Style18"/>
        <w:numPr>
          <w:ilvl w:val="0"/>
          <w:numId w:val="5"/>
        </w:numPr>
        <w:tabs>
          <w:tab w:leader="none" w:pos="76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окончанию срока действия контракта Исполнитель в течение 5 рабочих дней должен передать Заказчику помещения пищеблока, торгово-технологическое оборудование, весоизмерительные приборы в состоянии, пригодном для дальнейшей эксплуатации, по акту приема-передачи: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Однако Заявитель предоставил договор аренды недвижимого имущества № 15 от 01.09.2018 года, где предмет договора п. 1.1 Арендодатель передает во временное пользование, а арендодатель принимает нежилое помещение (кухонный очаг) и оборудование школьной столовой, общей площадью 140,11 кв.м., расположенное по адресу: г.Элиста, 4 микрорайон, дом 51 для организации школьного питания. Срок предоставления с 01.09.2018 года по 31.08.2023 года.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 Заказчик в описании объекта закупки не раскрыл все условия контракта, так как есть договор аренды, тем самым в вел в заблуждение участников аукциона.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довод Заявителя признан Комиссией Калмыцкого УФАС России обоснованным, в действиях Заказчика, Уполномоченного органа допущены нарушения ст.31, 64 Закона о контрактной системы.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83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 статьи 99 и частью 8 статьи 106 ФЗ "О контрактной системе", Комиссия Калмыцкого УФАС России,</w:t>
      </w:r>
    </w:p>
    <w:p>
      <w:pPr>
        <w:pStyle w:val="Style23"/>
        <w:widowControl w:val="0"/>
        <w:keepNext/>
        <w:keepLines/>
        <w:shd w:val="clear" w:color="auto" w:fill="auto"/>
        <w:bidi w:val="0"/>
        <w:jc w:val="left"/>
        <w:spacing w:before="0" w:after="269" w:line="220" w:lineRule="exact"/>
        <w:ind w:left="470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  <w:bookmarkEnd w:id="0"/>
    </w:p>
    <w:p>
      <w:pPr>
        <w:pStyle w:val="Style18"/>
        <w:numPr>
          <w:ilvl w:val="0"/>
          <w:numId w:val="7"/>
        </w:numPr>
        <w:tabs>
          <w:tab w:leader="none" w:pos="136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ИП Манжиковой Е.Н. - обоснованной.</w:t>
      </w:r>
    </w:p>
    <w:p>
      <w:pPr>
        <w:pStyle w:val="Style18"/>
        <w:numPr>
          <w:ilvl w:val="0"/>
          <w:numId w:val="7"/>
        </w:numPr>
        <w:tabs>
          <w:tab w:leader="none" w:pos="1368" w:val="left"/>
          <w:tab w:leader="none" w:pos="894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в действиях Заказчика МБОУ «Элистинская классическая</w:t>
        <w:tab/>
        <w:t>гимназия»,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уполномоченного органа Администрации города Элисты - нарушение ст. 33, ст. 64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"О контрактной системе в сфере закупок товаров, работ, услуг для обеспечения государственных и муниципальных нужд".</w:t>
      </w:r>
    </w:p>
    <w:p>
      <w:pPr>
        <w:pStyle w:val="Style18"/>
        <w:numPr>
          <w:ilvl w:val="0"/>
          <w:numId w:val="7"/>
        </w:numPr>
        <w:tabs>
          <w:tab w:leader="none" w:pos="1368" w:val="left"/>
          <w:tab w:leader="none" w:pos="883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Выдать Заказчику МБОУ «Элистинская классическая</w:t>
        <w:tab/>
        <w:t>гимназия»,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уполномоченному органу Администрации города Элисты - предписание об аннулировании закупки.</w:t>
      </w:r>
    </w:p>
    <w:p>
      <w:pPr>
        <w:pStyle w:val="Style18"/>
        <w:numPr>
          <w:ilvl w:val="0"/>
          <w:numId w:val="7"/>
        </w:numPr>
        <w:tabs>
          <w:tab w:leader="none" w:pos="1368" w:val="left"/>
          <w:tab w:leader="none" w:pos="892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Передать материалы дела должностному лицу для рассмотрения</w:t>
        <w:tab/>
        <w:t>вопроса о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234" w:line="2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возбуждении дела об административном правонарушении.</w:t>
      </w:r>
    </w:p>
    <w:p>
      <w:pPr>
        <w:pStyle w:val="Style18"/>
        <w:tabs>
          <w:tab w:leader="none" w:pos="5489" w:val="right"/>
          <w:tab w:leader="none" w:pos="6529" w:val="right"/>
          <w:tab w:leader="none" w:pos="7460" w:val="center"/>
          <w:tab w:leader="none" w:pos="779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</w:r>
      <w:r>
        <w:rPr>
          <w:rStyle w:val="CharStyle21"/>
        </w:rPr>
        <w:t>(</w:t>
        <w:tab/>
        <w:t>И</w:t>
        <w:tab/>
      </w:r>
      <w:r>
        <w:rPr>
          <w:rStyle w:val="CharStyle25"/>
        </w:rPr>
        <w:t>/</w:t>
        <w:tab/>
        <w:t xml:space="preserve">/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Сангаджиева М.В.</w:t>
      </w:r>
    </w:p>
    <w:p>
      <w:pPr>
        <w:pStyle w:val="Style18"/>
        <w:tabs>
          <w:tab w:leader="none" w:pos="7109" w:val="right"/>
          <w:tab w:leader="none" w:pos="7460" w:val="center"/>
          <w:tab w:leader="none" w:pos="789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</w:r>
      <w:r>
        <w:rPr>
          <w:rStyle w:val="CharStyle25"/>
        </w:rPr>
        <w:t xml:space="preserve"> </w:t>
      </w:r>
      <w:r>
        <w:rPr>
          <w:rStyle w:val="CharStyle26"/>
          <w:lang w:val="en-US" w:eastAsia="en-US" w:bidi="en-US"/>
        </w:rPr>
        <w:t>f</w:t>
        <w:tab/>
      </w:r>
      <w:r>
        <w:rPr>
          <w:rStyle w:val="CharStyle26"/>
        </w:rPr>
        <w:t>[уЛА</w:t>
      </w:r>
      <w:r>
        <w:rPr>
          <w:rStyle w:val="CharStyle25"/>
          <w:lang w:val="en-US" w:eastAsia="en-US" w:bidi="en-US"/>
        </w:rPr>
        <w:t>f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Мархадаева А.М.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126" w:line="277" w:lineRule="exact"/>
        <w:ind w:left="7360" w:right="0" w:firstLine="0"/>
      </w:pPr>
      <w:r>
        <w:rPr>
          <w:rStyle w:val="CharStyle21"/>
        </w:rPr>
        <w:t xml:space="preserve">Лй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Мукабенов Б.А.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912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 даты его принятия.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6380" w:right="0" w:firstLine="0"/>
        <w:sectPr>
          <w:type w:val="continuous"/>
          <w:pgSz w:w="11906" w:h="16838"/>
          <w:pgMar w:top="597" w:left="1461" w:right="457" w:bottom="681" w:header="0" w:footer="3" w:gutter="0"/>
          <w:rtlGutter w:val="0"/>
          <w:cols w:space="720"/>
          <w:noEndnote/>
          <w:docGrid w:linePitch="360"/>
        </w:sectPr>
      </w:pPr>
      <w:r>
        <w:rPr>
          <w:w w:val="100"/>
          <w:spacing w:val="0"/>
          <w:color w:val="000000"/>
          <w:position w:val="0"/>
        </w:rPr>
        <w:t>f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71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71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371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5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3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Республике Калмыкия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360" w:lineRule="exact"/>
        <w:ind w:left="58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Лермонтова, д. 4, г. Элиста, 358000 тел./факс. :(84722) 4-13-33 </w:t>
      </w:r>
      <w:r>
        <w:rPr>
          <w:rStyle w:val="CharStyle10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"mailto:to08@fas.gov.ru" </w:instrText>
      </w:r>
      <w:r>
        <w:fldChar w:fldCharType="separate"/>
      </w:r>
      <w:r>
        <w:rPr>
          <w:rStyle w:val="Hyperlink"/>
        </w:rPr>
        <w:t>to</w:t>
      </w:r>
      <w:r>
        <w:rPr>
          <w:rStyle w:val="Hyperlink"/>
        </w:rPr>
        <w:t>08</w:t>
      </w:r>
      <w:r>
        <w:rPr>
          <w:rStyle w:val="Hyperlink"/>
        </w:rPr>
        <w:t>@fas.gov.ru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360" w:lineRule="exact"/>
        <w:ind w:left="0" w:right="0" w:firstLine="1420"/>
        <w:sectPr>
          <w:pgSz w:w="11906" w:h="16838"/>
          <w:pgMar w:top="780" w:left="1438" w:right="1154" w:bottom="755" w:header="0" w:footer="3" w:gutter="0"/>
          <w:rtlGutter w:val="0"/>
          <w:cols w:num="2" w:space="720" w:equalWidth="0">
            <w:col w:w="3355" w:space="1847"/>
            <w:col w:w="4111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ФЕДЕРАЛЬН АНТИМОНОПОЛЬН ЦЕРГЛЛТ </w:t>
      </w:r>
      <w:r>
        <w:rPr>
          <w:rStyle w:val="CharStyle14"/>
        </w:rPr>
        <w:t xml:space="preserve">Федеральн антимонопольн цергллтин Хальмг ТацЬчар </w:t>
      </w:r>
      <w:r>
        <w:rPr>
          <w:rStyle w:val="CharStyle14"/>
          <w:vertAlign w:val="subscript"/>
        </w:rPr>
        <w:t>т</w:t>
      </w:r>
      <w:r>
        <w:rPr>
          <w:rStyle w:val="CharStyle14"/>
        </w:rPr>
        <w:t xml:space="preserve"> УУЛДДГ ЗАЛЛТ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Лермонтова, уульнц, 4 гер, Элст балЬсн, 358000 тел/факс: (84722) 4-13-33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5"/>
        </w:rPr>
        <w:instrText> HYPERLINK "mailto:to08@fas.oov.ru" </w:instrText>
      </w:r>
      <w:r>
        <w:fldChar w:fldCharType="separate"/>
      </w:r>
      <w:r>
        <w:rPr>
          <w:rStyle w:val="Hyperlink"/>
        </w:rPr>
        <w:t>to08@fas.oov.ru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2" w:after="3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framePr w:h="216" w:wrap="around" w:vAnchor="text" w:hAnchor="margin" w:x="77" w:y="559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rStyle w:val="CharStyle19"/>
          <w:spacing w:val="0"/>
        </w:rPr>
        <w:t>18 февраля 2021 г.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306" w:line="220" w:lineRule="exact"/>
        <w:ind w:left="3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№ 008/06/64-20/2021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Элиста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269" w:line="310" w:lineRule="exact"/>
        <w:ind w:left="416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Резолютивная часть решения объявлена 16.02.2021 г. Изготовлено в полном объеме 18.02.2021 г.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Комиссия Управления Федеральной антимонопольной службы по Республике Калмыкия по контролю в сфере закупок товаров,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?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работ, услуг для обеспечения государственных и муниципальных нужд, (далее - Комиссия Калмыцкого УФАС России) в составе: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Сангаджиева М.В. - председатель Комиссии, руководитель управления Калмыцкого УФАС России,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Мархадаева А.М. - член Комиссии, старший государственный инспектор Калмыцкого УФАС России,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83" w:line="274" w:lineRule="exact"/>
        <w:ind w:left="580" w:right="260" w:firstLine="1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Мукабенов Б.А. - член Комиссии, специалист 1 разряда Калмыцкого УФАС России, на основании решения № 008/06/64-20/2021 от 18.02.2021 г.,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73" w:line="220" w:lineRule="exact"/>
        <w:ind w:left="4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16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- МБОУ «Элистинская классическая гимназия», уполномоченному органу - Администрация города Элисты в течение 3-х рабочих дней </w:t>
      </w:r>
      <w:r>
        <w:rPr>
          <w:rStyle w:val="CharStyle31"/>
          <w:b w:val="0"/>
          <w:bCs w:val="0"/>
        </w:rPr>
        <w:t>с момента получения данного предписания, осуществить следующие действия: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аннулировать аукцион в электронной форме на организацию горячего питания обучающихся с 1-4 классы МБОУ "ЭКГ", реестровый номер извещения № 0105300000721000012.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качестве подтверждения исполнения настоящего предписания, в течение 3-х рабочих дней с момента исполнения настоящего предписания, представить в Калмыцкое УФАС России копии документов, подтверждающих исполнение настоящего предписания.</w:t>
      </w:r>
    </w:p>
    <w:p>
      <w:pPr>
        <w:pStyle w:val="Style16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243" w:line="274" w:lineRule="exact"/>
        <w:ind w:left="1080" w:right="40"/>
      </w:pPr>
      <w:r>
        <w:rPr>
          <w:rStyle w:val="CharStyle31"/>
          <w:b w:val="0"/>
          <w:bCs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Электронной площадке </w:t>
      </w:r>
      <w:r>
        <w:fldChar w:fldCharType="begin"/>
      </w:r>
      <w:r>
        <w:rPr>
          <w:color w:val="000000"/>
        </w:rPr>
        <w:instrText> HYPERLINK "https://www.roseltorg.ru"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https://www.roseltorg.ru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предоставить возможность выполнить п.1 данного предписания.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1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 Члены комиссии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обэ/саловано в арбитражном суде в порядке, предусмотренном статьей 198 Арбитр алою го процессуального кодекса Российской Федерации.</w:t>
      </w:r>
    </w:p>
    <w:sectPr>
      <w:type w:val="continuous"/>
      <w:pgSz w:w="11906" w:h="16838"/>
      <w:pgMar w:top="780" w:left="1096" w:right="1107" w:bottom="75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2.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 (2) + 10,5 pt,Полужирный,Интервал 0 pt"/>
    <w:basedOn w:val="CharStyle4"/>
    <w:rPr>
      <w:lang w:val="ru-RU" w:eastAsia="ru-RU" w:bidi="ru-RU"/>
      <w:b/>
      <w:bCs/>
      <w:sz w:val="21"/>
      <w:szCs w:val="21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9">
    <w:name w:val="Основной текст (4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0">
    <w:name w:val="Основной текст (4) + 9,5 pt"/>
    <w:basedOn w:val="CharStyle9"/>
    <w:rPr>
      <w:lang w:val="en-US" w:eastAsia="en-US" w:bidi="en-US"/>
      <w:sz w:val="19"/>
      <w:szCs w:val="19"/>
      <w:w w:val="100"/>
      <w:spacing w:val="0"/>
      <w:color w:val="000000"/>
      <w:position w:val="0"/>
    </w:rPr>
  </w:style>
  <w:style w:type="character" w:customStyle="1" w:styleId="CharStyle11">
    <w:name w:val="Основной текст (4) + 9,5 pt"/>
    <w:basedOn w:val="CharStyle9"/>
    <w:rPr>
      <w:lang w:val="en-US" w:eastAsia="en-US" w:bidi="en-US"/>
      <w:u w:val="single"/>
      <w:sz w:val="19"/>
      <w:szCs w:val="19"/>
      <w:w w:val="100"/>
      <w:spacing w:val="0"/>
      <w:color w:val="000000"/>
      <w:position w:val="0"/>
    </w:rPr>
  </w:style>
  <w:style w:type="character" w:customStyle="1" w:styleId="CharStyle12">
    <w:name w:val="Основной текст (4) + 9,5 pt"/>
    <w:basedOn w:val="CharStyle9"/>
    <w:rPr>
      <w:lang w:val="en-US" w:eastAsia="en-US" w:bidi="en-US"/>
      <w:u w:val="single"/>
      <w:sz w:val="19"/>
      <w:szCs w:val="19"/>
      <w:w w:val="100"/>
      <w:spacing w:val="0"/>
      <w:color w:val="000000"/>
      <w:position w:val="0"/>
    </w:rPr>
  </w:style>
  <w:style w:type="character" w:customStyle="1" w:styleId="CharStyle13">
    <w:name w:val="Основной текст (4) + 10 pt,Интервал 0 pt"/>
    <w:basedOn w:val="CharStyle9"/>
    <w:rPr>
      <w:lang w:val="ru-RU" w:eastAsia="ru-RU" w:bidi="ru-RU"/>
      <w:sz w:val="20"/>
      <w:szCs w:val="20"/>
      <w:w w:val="100"/>
      <w:spacing w:val="10"/>
      <w:color w:val="000000"/>
      <w:position w:val="0"/>
    </w:rPr>
  </w:style>
  <w:style w:type="character" w:customStyle="1" w:styleId="CharStyle14">
    <w:name w:val="Основной текст (4) + 10,5 pt,Полужирный"/>
    <w:basedOn w:val="CharStyle9"/>
    <w:rPr>
      <w:lang w:val="ru-RU" w:eastAsia="ru-RU" w:bidi="ru-RU"/>
      <w:b/>
      <w:bCs/>
      <w:sz w:val="21"/>
      <w:szCs w:val="21"/>
      <w:w w:val="100"/>
      <w:spacing w:val="0"/>
      <w:color w:val="000000"/>
      <w:position w:val="0"/>
    </w:rPr>
  </w:style>
  <w:style w:type="character" w:customStyle="1" w:styleId="CharStyle15">
    <w:name w:val="Основной текст (4)"/>
    <w:basedOn w:val="CharStyle9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7">
    <w:name w:val="Основной текст (5)_"/>
    <w:basedOn w:val="DefaultParagraphFont"/>
    <w:link w:val="Style16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8"/>
    </w:rPr>
  </w:style>
  <w:style w:type="character" w:customStyle="1" w:styleId="CharStyle20">
    <w:name w:val="Основной текст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1">
    <w:name w:val="Основной текст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2">
    <w:name w:val="Основной текст"/>
    <w:basedOn w:val="CharStyle2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4">
    <w:name w:val="Заголовок №1_"/>
    <w:basedOn w:val="DefaultParagraphFont"/>
    <w:link w:val="Style2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5">
    <w:name w:val="Основной текст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6">
    <w:name w:val="Основной текст + 13 pt,Курсив"/>
    <w:basedOn w:val="CharStyle20"/>
    <w:rPr>
      <w:lang w:val="ru-RU" w:eastAsia="ru-RU" w:bidi="ru-RU"/>
      <w:i/>
      <w:iCs/>
      <w:sz w:val="26"/>
      <w:szCs w:val="26"/>
      <w:w w:val="100"/>
      <w:spacing w:val="0"/>
      <w:color w:val="000000"/>
      <w:position w:val="0"/>
    </w:rPr>
  </w:style>
  <w:style w:type="character" w:customStyle="1" w:styleId="CharStyle28">
    <w:name w:val="Основной текст (6)_"/>
    <w:basedOn w:val="DefaultParagraphFont"/>
    <w:link w:val="Style27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0">
    <w:name w:val="Основной текст (7)_"/>
    <w:basedOn w:val="DefaultParagraphFont"/>
    <w:link w:val="Style29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2"/>
      <w:szCs w:val="12"/>
      <w:rFonts w:ascii="Microsoft Sans Serif" w:eastAsia="Microsoft Sans Serif" w:hAnsi="Microsoft Sans Serif" w:cs="Microsoft Sans Serif"/>
    </w:rPr>
  </w:style>
  <w:style w:type="character" w:customStyle="1" w:styleId="CharStyle31">
    <w:name w:val="Основной текст (5) + Не полужирный"/>
    <w:basedOn w:val="CharStyle17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374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after="60" w:line="248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FFFFFF"/>
      <w:jc w:val="center"/>
      <w:spacing w:line="353" w:lineRule="exact"/>
      <w:ind w:hanging="540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spacing w:line="0" w:lineRule="exact"/>
      <w:ind w:hanging="340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8">
    <w:name w:val="Основной текст"/>
    <w:basedOn w:val="Normal"/>
    <w:link w:val="CharStyle20"/>
    <w:pPr>
      <w:widowControl w:val="0"/>
      <w:shd w:val="clear" w:color="auto" w:fill="FFFFFF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FFFFFF"/>
      <w:outlineLvl w:val="0"/>
      <w:spacing w:before="240" w:after="36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7">
    <w:name w:val="Основной текст (6)"/>
    <w:basedOn w:val="Normal"/>
    <w:link w:val="CharStyle28"/>
    <w:pPr>
      <w:widowControl w:val="0"/>
      <w:shd w:val="clear" w:color="auto" w:fill="FFFFFF"/>
      <w:spacing w:before="120" w:after="9000" w:line="270" w:lineRule="exact"/>
      <w:ind w:firstLine="56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9">
    <w:name w:val="Основной текст (7)"/>
    <w:basedOn w:val="Normal"/>
    <w:link w:val="CharStyle30"/>
    <w:pPr>
      <w:widowControl w:val="0"/>
      <w:shd w:val="clear" w:color="auto" w:fill="FFFFFF"/>
      <w:spacing w:before="900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2"/>
      <w:szCs w:val="12"/>
      <w:rFonts w:ascii="Microsoft Sans Serif" w:eastAsia="Microsoft Sans Serif" w:hAnsi="Microsoft Sans Serif" w:cs="Microsoft Sans Serif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