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368" w:h="470" w:wrap="around" w:vAnchor="text" w:hAnchor="margin" w:x="364" w:y="960"/>
        <w:widowControl w:val="0"/>
        <w:keepNext w:val="0"/>
        <w:keepLines w:val="0"/>
        <w:shd w:val="clear" w:color="auto" w:fill="auto"/>
        <w:bidi w:val="0"/>
        <w:spacing w:before="0" w:after="0"/>
        <w:ind w:left="0" w:right="40" w:firstLine="0"/>
      </w:pPr>
      <w:r>
        <w:rPr>
          <w:rStyle w:val="CharStyle5"/>
          <w:b/>
          <w:bCs/>
          <w:spacing w:val="0"/>
        </w:rPr>
        <w:t>ФЕДЕРАЛЬНАЯ АНТИМОНОПОЛЬНАЯ СЛУЖБА</w:t>
      </w:r>
    </w:p>
    <w:p>
      <w:pPr>
        <w:widowControl w:val="0"/>
        <w:rPr>
          <w:sz w:val="2"/>
          <w:szCs w:val="2"/>
        </w:rPr>
      </w:pPr>
    </w:p>
    <w:p>
      <w:pPr>
        <w:pStyle w:val="Style6"/>
        <w:widowControl w:val="0"/>
        <w:keepNext w:val="0"/>
        <w:keepLines w:val="0"/>
        <w:shd w:val="clear" w:color="auto" w:fill="auto"/>
        <w:bidi w:val="0"/>
        <w:spacing w:before="0" w:after="257"/>
        <w:ind w:left="0" w:right="20" w:firstLine="0"/>
      </w:pPr>
      <w:r>
        <w:rPr>
          <w:rStyle w:val="CharStyle8"/>
        </w:rPr>
        <w:t xml:space="preserve">Мясницкий проезд, д.4, стр. 1 107078, г. Москва, тел. (495) 784-75-05, факс (495) 607-49-29 факс (495) 607-42-92, </w:t>
      </w:r>
      <w:r>
        <w:rPr>
          <w:rStyle w:val="CharStyle9"/>
        </w:rPr>
        <w:t>e-mail: to77@,fas.gov.ru</w:t>
      </w:r>
    </w:p>
    <w:p>
      <w:pPr>
        <w:pStyle w:val="Style10"/>
        <w:tabs>
          <w:tab w:leader="underscore" w:pos="3934" w:val="left"/>
        </w:tabs>
        <w:widowControl w:val="0"/>
        <w:keepNext w:val="0"/>
        <w:keepLines w:val="0"/>
        <w:shd w:val="clear" w:color="auto" w:fill="auto"/>
        <w:bidi w:val="0"/>
        <w:spacing w:before="0" w:after="190" w:line="200" w:lineRule="exact"/>
        <w:ind w:left="80" w:right="0" w:firstLine="0"/>
      </w:pPr>
      <w:r>
        <w:rPr>
          <w:rStyle w:val="CharStyle12"/>
        </w:rPr>
        <w:t xml:space="preserve">  №</w:t>
        <w:tab/>
      </w:r>
    </w:p>
    <w:p>
      <w:pPr>
        <w:pStyle w:val="Style6"/>
        <w:tabs>
          <w:tab w:leader="none" w:pos="1987" w:val="left"/>
        </w:tabs>
        <w:widowControl w:val="0"/>
        <w:keepNext w:val="0"/>
        <w:keepLines w:val="0"/>
        <w:shd w:val="clear" w:color="auto" w:fill="auto"/>
        <w:bidi w:val="0"/>
        <w:jc w:val="both"/>
        <w:spacing w:before="0" w:after="0" w:line="180" w:lineRule="exact"/>
        <w:ind w:left="0" w:right="0" w:firstLine="0"/>
      </w:pPr>
      <w:r>
        <w:rPr>
          <w:rStyle w:val="CharStyle8"/>
        </w:rPr>
        <w:t>На №</w:t>
        <w:tab/>
        <w:t>от</w:t>
      </w:r>
    </w:p>
    <w:p>
      <w:pPr>
        <w:pStyle w:val="Style13"/>
        <w:widowControl w:val="0"/>
        <w:keepNext w:val="0"/>
        <w:keepLines w:val="0"/>
        <w:shd w:val="clear" w:color="auto" w:fill="auto"/>
        <w:bidi w:val="0"/>
        <w:jc w:val="left"/>
        <w:spacing w:before="0" w:after="300"/>
        <w:ind w:left="20" w:right="1900" w:firstLine="0"/>
      </w:pPr>
      <w:r>
        <w:rPr>
          <w:lang w:val="ru-RU" w:eastAsia="ru-RU" w:bidi="ru-RU"/>
          <w:w w:val="100"/>
          <w:spacing w:val="0"/>
          <w:color w:val="000000"/>
          <w:position w:val="0"/>
        </w:rPr>
        <w:t>ГБУК Московский театр «Современник»</w:t>
      </w:r>
    </w:p>
    <w:p>
      <w:pPr>
        <w:pStyle w:val="Style13"/>
        <w:widowControl w:val="0"/>
        <w:keepNext w:val="0"/>
        <w:keepLines w:val="0"/>
        <w:shd w:val="clear" w:color="auto" w:fill="auto"/>
        <w:bidi w:val="0"/>
        <w:jc w:val="left"/>
        <w:spacing w:before="0" w:after="300"/>
        <w:ind w:left="20" w:right="320" w:firstLine="0"/>
      </w:pPr>
      <w:r>
        <w:rPr>
          <w:lang w:val="ru-RU" w:eastAsia="ru-RU" w:bidi="ru-RU"/>
          <w:w w:val="100"/>
          <w:spacing w:val="0"/>
          <w:color w:val="000000"/>
          <w:position w:val="0"/>
        </w:rPr>
        <w:t xml:space="preserve">Чистопрудный бул., д. 19/1, г. Москва, 101000, </w:t>
      </w:r>
      <w:r>
        <w:fldChar w:fldCharType="begin"/>
      </w:r>
      <w:r>
        <w:rPr>
          <w:color w:val="000000"/>
        </w:rPr>
        <w:instrText> HYPERLINK "mailto:afanasov@sovremennik.ru" </w:instrText>
      </w:r>
      <w:r>
        <w:fldChar w:fldCharType="separate"/>
      </w:r>
      <w:r>
        <w:rPr>
          <w:rStyle w:val="Hyperlink"/>
          <w:lang w:val="en-US" w:eastAsia="en-US" w:bidi="en-US"/>
          <w:w w:val="100"/>
          <w:spacing w:val="0"/>
          <w:position w:val="0"/>
        </w:rPr>
        <w:t>afanasov@sovremennik.ru</w:t>
      </w:r>
      <w:r>
        <w:fldChar w:fldCharType="end"/>
      </w:r>
    </w:p>
    <w:p>
      <w:pPr>
        <w:pStyle w:val="Style13"/>
        <w:widowControl w:val="0"/>
        <w:keepNext w:val="0"/>
        <w:keepLines w:val="0"/>
        <w:shd w:val="clear" w:color="auto" w:fill="auto"/>
        <w:bidi w:val="0"/>
        <w:jc w:val="both"/>
        <w:spacing w:before="0" w:after="300"/>
        <w:ind w:left="20" w:right="0" w:firstLine="0"/>
      </w:pPr>
      <w:r>
        <w:rPr>
          <w:lang w:val="ru-RU" w:eastAsia="ru-RU" w:bidi="ru-RU"/>
          <w:w w:val="100"/>
          <w:spacing w:val="0"/>
          <w:color w:val="000000"/>
          <w:position w:val="0"/>
        </w:rPr>
        <w:t>ГКУ «Технический центр Департамента культуры города Москвы»</w:t>
      </w:r>
    </w:p>
    <w:p>
      <w:pPr>
        <w:pStyle w:val="Style13"/>
        <w:widowControl w:val="0"/>
        <w:keepNext w:val="0"/>
        <w:keepLines w:val="0"/>
        <w:shd w:val="clear" w:color="auto" w:fill="auto"/>
        <w:bidi w:val="0"/>
        <w:jc w:val="left"/>
        <w:spacing w:before="0" w:after="349"/>
        <w:ind w:left="20" w:right="320" w:firstLine="0"/>
      </w:pPr>
      <w:r>
        <w:rPr>
          <w:lang w:val="ru-RU" w:eastAsia="ru-RU" w:bidi="ru-RU"/>
          <w:w w:val="100"/>
          <w:spacing w:val="0"/>
          <w:color w:val="000000"/>
          <w:position w:val="0"/>
        </w:rPr>
        <w:t xml:space="preserve">бул. Цветной, д. 30, стр. 1, г. Москва, 127051, </w:t>
      </w:r>
      <w:r>
        <w:fldChar w:fldCharType="begin"/>
      </w:r>
      <w:r>
        <w:rPr>
          <w:color w:val="000000"/>
        </w:rPr>
        <w:instrText> HYPERLINK "mailto:zakupki@culture.mos.ru" </w:instrText>
      </w:r>
      <w:r>
        <w:fldChar w:fldCharType="separate"/>
      </w:r>
      <w:r>
        <w:rPr>
          <w:rStyle w:val="Hyperlink"/>
          <w:lang w:val="en-US" w:eastAsia="en-US" w:bidi="en-US"/>
          <w:w w:val="100"/>
          <w:spacing w:val="0"/>
          <w:position w:val="0"/>
        </w:rPr>
        <w:t>zakupki@culture.mos.ru</w:t>
      </w:r>
      <w:r>
        <w:fldChar w:fldCharType="end"/>
      </w:r>
      <w:r>
        <w:rPr>
          <w:lang w:val="en-US" w:eastAsia="en-US" w:bidi="en-US"/>
          <w:w w:val="100"/>
          <w:spacing w:val="0"/>
          <w:color w:val="000000"/>
          <w:position w:val="0"/>
        </w:rPr>
        <w:t xml:space="preserve"> </w:t>
      </w:r>
      <w:r>
        <w:fldChar w:fldCharType="begin"/>
      </w:r>
      <w:r>
        <w:rPr>
          <w:color w:val="000000"/>
        </w:rPr>
        <w:instrText> HYPERLINK "mailto:tcdk@culture.mos.ru" </w:instrText>
      </w:r>
      <w:r>
        <w:fldChar w:fldCharType="separate"/>
      </w:r>
      <w:r>
        <w:rPr>
          <w:rStyle w:val="Hyperlink"/>
          <w:lang w:val="en-US" w:eastAsia="en-US" w:bidi="en-US"/>
          <w:w w:val="100"/>
          <w:spacing w:val="0"/>
          <w:position w:val="0"/>
        </w:rPr>
        <w:t>tcdk@culture.mos.ru</w:t>
      </w:r>
      <w:r>
        <w:fldChar w:fldCharType="end"/>
      </w:r>
    </w:p>
    <w:p>
      <w:pPr>
        <w:pStyle w:val="Style13"/>
        <w:widowControl w:val="0"/>
        <w:keepNext w:val="0"/>
        <w:keepLines w:val="0"/>
        <w:shd w:val="clear" w:color="auto" w:fill="auto"/>
        <w:bidi w:val="0"/>
        <w:jc w:val="left"/>
        <w:spacing w:before="0" w:after="0" w:line="260" w:lineRule="exact"/>
        <w:ind w:left="20" w:right="0" w:firstLine="0"/>
        <w:sectPr>
          <w:footnotePr>
            <w:pos w:val="pageBottom"/>
            <w:numFmt w:val="decimal"/>
            <w:numRestart w:val="continuous"/>
          </w:footnotePr>
          <w:type w:val="continuous"/>
          <w:pgSz w:w="11906" w:h="16838"/>
          <w:pgMar w:top="1107" w:left="881" w:right="939" w:bottom="665" w:header="0" w:footer="3" w:gutter="0"/>
          <w:rtlGutter w:val="0"/>
          <w:cols w:num="2" w:space="720" w:equalWidth="0">
            <w:col w:w="3941" w:space="1325"/>
            <w:col w:w="4819"/>
          </w:cols>
          <w:noEndnote/>
          <w:docGrid w:linePitch="360"/>
        </w:sectPr>
      </w:pPr>
      <w:r>
        <w:rPr>
          <w:lang w:val="ru-RU" w:eastAsia="ru-RU" w:bidi="ru-RU"/>
          <w:w w:val="100"/>
          <w:spacing w:val="0"/>
          <w:color w:val="000000"/>
          <w:position w:val="0"/>
        </w:rPr>
        <w:t>ООО «ПримаСервис»</w:t>
      </w:r>
    </w:p>
    <w:p>
      <w:pPr>
        <w:widowControl w:val="0"/>
        <w:spacing w:before="43" w:after="4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349"/>
        <w:ind w:left="5300" w:right="2000" w:firstLine="0"/>
      </w:pPr>
      <w:r>
        <w:rPr>
          <w:lang w:val="ru-RU" w:eastAsia="ru-RU" w:bidi="ru-RU"/>
          <w:w w:val="100"/>
          <w:spacing w:val="0"/>
          <w:color w:val="000000"/>
          <w:position w:val="0"/>
        </w:rPr>
        <w:t xml:space="preserve">ул. Грузинская Б., д. 20, г. Москва,123242, </w:t>
      </w:r>
      <w:r>
        <w:rPr>
          <w:lang w:val="en-US" w:eastAsia="en-US" w:bidi="en-US"/>
          <w:w w:val="100"/>
          <w:spacing w:val="0"/>
          <w:color w:val="000000"/>
          <w:position w:val="0"/>
        </w:rPr>
        <w:t>katerinamind@gmail .com</w:t>
      </w:r>
    </w:p>
    <w:p>
      <w:pPr>
        <w:pStyle w:val="Style13"/>
        <w:widowControl w:val="0"/>
        <w:keepNext w:val="0"/>
        <w:keepLines w:val="0"/>
        <w:shd w:val="clear" w:color="auto" w:fill="auto"/>
        <w:bidi w:val="0"/>
        <w:jc w:val="left"/>
        <w:spacing w:before="0" w:after="243" w:line="260" w:lineRule="exact"/>
        <w:ind w:left="5300" w:right="0" w:firstLine="0"/>
      </w:pPr>
      <w:r>
        <w:rPr>
          <w:lang w:val="ru-RU" w:eastAsia="ru-RU" w:bidi="ru-RU"/>
          <w:w w:val="100"/>
          <w:spacing w:val="0"/>
          <w:color w:val="000000"/>
          <w:position w:val="0"/>
        </w:rPr>
        <w:t>ООО «Строй теле сети»</w:t>
      </w:r>
    </w:p>
    <w:p>
      <w:pPr>
        <w:pStyle w:val="Style13"/>
        <w:widowControl w:val="0"/>
        <w:keepNext w:val="0"/>
        <w:keepLines w:val="0"/>
        <w:shd w:val="clear" w:color="auto" w:fill="auto"/>
        <w:bidi w:val="0"/>
        <w:jc w:val="left"/>
        <w:spacing w:before="0" w:after="300"/>
        <w:ind w:left="5300" w:right="420" w:firstLine="0"/>
      </w:pPr>
      <w:r>
        <w:rPr>
          <w:lang w:val="ru-RU" w:eastAsia="ru-RU" w:bidi="ru-RU"/>
          <w:w w:val="100"/>
          <w:spacing w:val="0"/>
          <w:color w:val="000000"/>
          <w:position w:val="0"/>
        </w:rPr>
        <w:t xml:space="preserve">ул. Большая Пионерская, д. 15, стр. 1, пом. II, оф. 4, г. Москва, 115054, </w:t>
      </w:r>
      <w:r>
        <w:fldChar w:fldCharType="begin"/>
      </w:r>
      <w:r>
        <w:rPr>
          <w:color w:val="000000"/>
        </w:rPr>
        <w:instrText> HYPERLINK "mailto:s-tele-s@yandex.ru" </w:instrText>
      </w:r>
      <w:r>
        <w:fldChar w:fldCharType="separate"/>
      </w:r>
      <w:r>
        <w:rPr>
          <w:rStyle w:val="Hyperlink"/>
          <w:lang w:val="en-US" w:eastAsia="en-US" w:bidi="en-US"/>
          <w:w w:val="100"/>
          <w:spacing w:val="0"/>
          <w:position w:val="0"/>
        </w:rPr>
        <w:t>s-tele-s@yandex.ru</w:t>
      </w:r>
      <w:r>
        <w:fldChar w:fldCharType="end"/>
      </w:r>
    </w:p>
    <w:p>
      <w:pPr>
        <w:pStyle w:val="Style15"/>
        <w:tabs>
          <w:tab w:leader="none" w:pos="9034" w:val="right"/>
          <w:tab w:leader="none" w:pos="10086"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077/06/106-2517/2021 нарушении законодательства о контрактной системе 16.02.2021</w:t>
        <w:tab/>
        <w:t>г.</w:t>
        <w:tab/>
        <w:t>Москва</w:t>
      </w:r>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13"/>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Членов Комиссии:</w:t>
      </w:r>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ведущего специалиста-эксперта отдела обжалования государственных закупок Д.А. Аносова,</w:t>
      </w:r>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специалиста первого разряда отдела обжалования государственных закупок А.А. Матюшенко,</w:t>
      </w:r>
    </w:p>
    <w:p>
      <w:pPr>
        <w:pStyle w:val="Style13"/>
        <w:widowControl w:val="0"/>
        <w:keepNext w:val="0"/>
        <w:keepLines w:val="0"/>
        <w:shd w:val="clear" w:color="auto" w:fill="auto"/>
        <w:bidi w:val="0"/>
        <w:jc w:val="both"/>
        <w:spacing w:before="0" w:after="296"/>
        <w:ind w:left="20" w:right="20" w:firstLine="7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w:t>
      </w:r>
    </w:p>
    <w:p>
      <w:pPr>
        <w:pStyle w:val="Style17"/>
        <w:widowControl w:val="0"/>
        <w:keepNext w:val="0"/>
        <w:keepLines w:val="0"/>
        <w:shd w:val="clear" w:color="auto" w:fill="auto"/>
        <w:bidi w:val="0"/>
        <w:jc w:val="left"/>
        <w:spacing w:before="0" w:after="0" w:line="240" w:lineRule="auto"/>
        <w:ind w:left="0" w:right="0" w:firstLine="0"/>
        <w:sectPr>
          <w:type w:val="continuous"/>
          <w:pgSz w:w="11906" w:h="16838"/>
          <w:pgMar w:top="1122" w:left="848" w:right="848" w:bottom="680" w:header="0" w:footer="3" w:gutter="0"/>
          <w:rtlGutter w:val="0"/>
          <w:cols w:space="720"/>
          <w:noEndnote/>
          <w:docGrid w:linePitch="360"/>
        </w:sectPr>
      </w:pPr>
      <w:r>
        <w:rPr>
          <w:w w:val="100"/>
          <w:spacing w:val="0"/>
          <w:color w:val="000000"/>
          <w:position w:val="0"/>
        </w:rPr>
        <w:t>001586647930</w:t>
      </w:r>
    </w:p>
    <w:p>
      <w:pPr>
        <w:pStyle w:val="Style13"/>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 xml:space="preserve">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представители ГКУ «Технический центр Департамента культуры города Москвы», ГБУК Московский театр «Современник» участвовали посредством конференц-связи,</w:t>
      </w:r>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представители ООО «Строй теле сети», о времени и порядке заседания Комиссии уведомлены письмом Московского УФАС России исх. №ЕИ/8073/21 от 12.02.2021, в рассмотрении жалобы не участвовали,</w:t>
      </w:r>
    </w:p>
    <w:p>
      <w:pPr>
        <w:pStyle w:val="Style13"/>
        <w:widowControl w:val="0"/>
        <w:keepNext w:val="0"/>
        <w:keepLines w:val="0"/>
        <w:shd w:val="clear" w:color="auto" w:fill="auto"/>
        <w:bidi w:val="0"/>
        <w:jc w:val="both"/>
        <w:spacing w:before="0" w:after="349"/>
        <w:ind w:left="20" w:right="20" w:firstLine="740"/>
      </w:pPr>
      <w:r>
        <w:rPr>
          <w:lang w:val="ru-RU" w:eastAsia="ru-RU" w:bidi="ru-RU"/>
          <w:w w:val="100"/>
          <w:spacing w:val="0"/>
          <w:color w:val="000000"/>
          <w:position w:val="0"/>
        </w:rPr>
        <w:t>рассмотрев жалобу ООО «Строй теле сети» (далее — Заявитель) на действия ГБУК Московский театр «Современник» (далее — Заказчик) при проведении электронного аукциона на право заключения государственного контракта на оказание услуг по техническому обслуживанию систем безопасности зданий (Закупка № 0373200138221000006)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1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20"/>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(исх. № ЕИ/8073/21 от 12.02.2021).</w:t>
      </w:r>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Заявитель обжалует неправомерные действия аукционной комиссии Заказчика, выразившиеся в неправомерном признании вторых частей заявок участников закупки ООО «ПримаСервис», ООО «С-К» на участие в аукционе соответствующими требованиям аукционной документации и Закона о контрактной системе, поскольку, по мнению Заявителя, в составе вторых частях заявок ООО «ПримаСервис», ООО «С-К» представлены лицензия МЧС, в составе которых отсутствует следующий вид деятельности: «Монтаж, техническое обслуживание и ремонт первичных средств пожаротушения», что по мнению Заявителя позволяет сделать вывод о неправомерном признании ООО «ПримаСервис» победителем аукциона, а ООО «С-К» участником занявшим второе место.</w:t>
      </w:r>
    </w:p>
    <w:p>
      <w:pPr>
        <w:pStyle w:val="Style1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Согласно протоколу подведения итогов электронного аукциона от 09.02.2021 №0373200138221000006-3 вторые части заявки участников ООО «ПримаСервис»,</w:t>
      </w:r>
    </w:p>
    <w:p>
      <w:pPr>
        <w:pStyle w:val="Style13"/>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ООО «С-К» на участие в аукционе признаны соответствующими требованиям аукционной документации и Закона о контрактной системе, и ООО «ПримаСервис» признано победителем электронного аукциона №0373200138221000006, а ООО «С-К» участником занявшим второе место.</w:t>
      </w:r>
    </w:p>
    <w:p>
      <w:pPr>
        <w:pStyle w:val="Style1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силу п.1 ч.1 ст.31 Закона о контрактной системе при осуществлении закупки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Согласно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 3 - 6 ст.66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3"/>
        <w:tabs>
          <w:tab w:leader="none" w:pos="10171" w:val="right"/>
        </w:tabs>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Комиссией Управления установлено, что согласно п.16.1 информационной карты аукционной документации установлено следующее:</w:t>
        <w:tab/>
        <w:t>«Соответствие</w:t>
      </w:r>
    </w:p>
    <w:p>
      <w:pPr>
        <w:pStyle w:val="Style13"/>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предусмотренные п. 1 ч. 1 ст. 31 Закона о контрактной системе.</w:t>
      </w:r>
    </w:p>
    <w:p>
      <w:pPr>
        <w:pStyle w:val="Style1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 xml:space="preserve">Лот № 1: наличие лицензии в соответствии с Постановлением Правительства РФ от 28 июля 2020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1128 «О лицензировании деятельности по монтажу, техническому обслуживанию и ремонту средств обеспечения пожарной безопасности зданий и сооружений» на следующие работы и услуги 1. Монтаж, техническое обслуживание и ремонт систем пожаротушения и их элементов, включая диспетчеризацию и проведение пусконаладочных работ. 2.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3.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4. 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 5.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6. </w:t>
      </w:r>
      <w:r>
        <w:rPr>
          <w:rStyle w:val="CharStyle19"/>
        </w:rPr>
        <w:t>Монтаж, техническое обслуживание и ремонт первичных средств</w:t>
      </w:r>
      <w:r>
        <w:rPr>
          <w:lang w:val="ru-RU" w:eastAsia="ru-RU" w:bidi="ru-RU"/>
          <w:w w:val="100"/>
          <w:spacing w:val="0"/>
          <w:color w:val="000000"/>
          <w:position w:val="0"/>
        </w:rPr>
        <w:t xml:space="preserve"> </w:t>
      </w:r>
      <w:r>
        <w:rPr>
          <w:rStyle w:val="CharStyle19"/>
        </w:rPr>
        <w:t>пожаротушения</w:t>
      </w:r>
      <w:r>
        <w:rPr>
          <w:lang w:val="ru-RU" w:eastAsia="ru-RU" w:bidi="ru-RU"/>
          <w:w w:val="100"/>
          <w:spacing w:val="0"/>
          <w:color w:val="000000"/>
          <w:position w:val="0"/>
        </w:rPr>
        <w:t xml:space="preserve"> ».</w:t>
      </w:r>
    </w:p>
    <w:p>
      <w:pPr>
        <w:pStyle w:val="Style1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Кроме того, согласно пп.2 п.18.2 информационной карты аукционной документации установлено, что вторая часть заявки на участие в электронном аукционе должна содержать следующие документы и информацию: 6. Документы, подтверждающие соответствие участника такого аукциона требованиям, установленным п. 1 ч. 1 ст. 31 Закона о контрактной системе, или копии этих документов. Копия действующей лицензии в соответствии с с</w:t>
      </w:r>
    </w:p>
    <w:p>
      <w:pPr>
        <w:pStyle w:val="Style13"/>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 xml:space="preserve">Постановлением Правительства РФ от 28 июля 2020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1128 «О лицензировании деятельности по монтажу, техническому обслуживанию и ремонту средств обеспечения пожарной безопасности зданий и сооружений» на следующие работы и услуги 1. Монтаж, техническое обслуживание и ремонт систем пожаротушения и их элементов, включая диспетчеризацию и проведение пусконаладочных работ. 2.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3.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4. 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 5.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w:t>
      </w:r>
      <w:r>
        <w:rPr>
          <w:rStyle w:val="CharStyle19"/>
        </w:rPr>
        <w:t>6. Монтаж, техническое</w:t>
      </w:r>
      <w:r>
        <w:rPr>
          <w:lang w:val="ru-RU" w:eastAsia="ru-RU" w:bidi="ru-RU"/>
          <w:w w:val="100"/>
          <w:spacing w:val="0"/>
          <w:color w:val="000000"/>
          <w:position w:val="0"/>
        </w:rPr>
        <w:t xml:space="preserve"> </w:t>
      </w:r>
      <w:r>
        <w:rPr>
          <w:rStyle w:val="CharStyle19"/>
        </w:rPr>
        <w:t>обслуживание и ремонт первичных средств пожаротушения</w:t>
      </w:r>
      <w:r>
        <w:rPr>
          <w:lang w:val="ru-RU" w:eastAsia="ru-RU" w:bidi="ru-RU"/>
          <w:w w:val="100"/>
          <w:spacing w:val="0"/>
          <w:color w:val="000000"/>
          <w:position w:val="0"/>
        </w:rPr>
        <w:t xml:space="preserve"> ».</w:t>
      </w:r>
    </w:p>
    <w:p>
      <w:pPr>
        <w:pStyle w:val="Style1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соответствии с п. 2 ч. 5 ст. 66 Закона о контрактной системе вторая часть заявки на участие в электронном аукционе должна содержать, в том числе следующие документы и информацию: документы, подтверждающие соответствие участника такого аукциона требованиям, установленным п.1 ч.1, ч.2 и 2.1 ст.31 (при наличии таких требований) Закона о контрактной системе, или копии этих документов, а также декларация о соответствии участника такого аукциона требованиям, установленным п.3-9 ч.1 ст.31 Закона о контрактной системе.</w:t>
      </w:r>
    </w:p>
    <w:p>
      <w:pPr>
        <w:pStyle w:val="Style1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Вместе с тем Комиссией Управления установлено, что совокупность положений п.16.1 и п.18.2 информационной карты аукционной документации прямо указывает на тот факт, что участник закупки и, как следствие, потенциальный исполнитель контракта обязан иметь лицензию МЧС на осуществление деятельности по монтажу, техническое обслуживание и ремонт первичных средств пожаротушения и представить ее в составе второй части заявки на участие в закупке.</w:t>
      </w:r>
    </w:p>
    <w:p>
      <w:pPr>
        <w:pStyle w:val="Style1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1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На заседании Комиссии Управления представители Заказчика и Уполномоченного органа пояснили, что аукционной комиссией Заказчика при рассмотрении вторых частей заявок не учитывалось требование о представлении лицензии на работы: «Монтаж, техническое обслуживание и ремонт первичных средств пожаротушения», так как данное требование было признано избыточным, виду малозначительности данных работ, при этом представители Заказчика и Уполномоченного органа отметили, что данное требование установлено в аукционной документации вследствие отсутствия в функционале программы ЕАИСТ 2.0 функционала по изменению положений типовой документации.</w:t>
      </w:r>
    </w:p>
    <w:p>
      <w:pPr>
        <w:pStyle w:val="Style13"/>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В соответствии с ч.1 ст.69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ч.19 ст.68 Закона о контрактной системе, в части соответствия их требованиям, установленным документацией о таком аукционе.</w:t>
      </w:r>
    </w:p>
    <w:p>
      <w:pPr>
        <w:pStyle w:val="Style1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Вместе с этим Комиссией Управления установлено, что в составе вторых частей заявок на участие в аукционе участников ООО «ПримаСервис», ООО «С-К» отсутствуют лицензии на следующие работы: «Монтаж, техническое обслуживание и ремонт первичных средств пожаротушения».</w:t>
      </w:r>
    </w:p>
    <w:p>
      <w:pPr>
        <w:pStyle w:val="Style1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Согласно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3"/>
        <w:numPr>
          <w:ilvl w:val="0"/>
          <w:numId w:val="1"/>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3"/>
        <w:numPr>
          <w:ilvl w:val="0"/>
          <w:numId w:val="1"/>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ч.1.1, ч.2 и ч.2.1 (при наличии таких требований) ст. 31 Закона о контрактной системе;</w:t>
      </w:r>
    </w:p>
    <w:p>
      <w:pPr>
        <w:pStyle w:val="Style13"/>
        <w:numPr>
          <w:ilvl w:val="0"/>
          <w:numId w:val="1"/>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Закона о контрактной системе.</w:t>
      </w:r>
    </w:p>
    <w:p>
      <w:pPr>
        <w:pStyle w:val="Style1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Согласно 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ч.6 ст.69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п.5 ч.5 ст.66 Закона о контрактной системе, а также п.6 ч.5 ст.66 Закона о контрактной системе, за исключением случая закупки товаров, работ, услуг, в отношении которых установлен запрет, предусмотренный ст.14 Закона о контрактной системе.</w:t>
      </w:r>
    </w:p>
    <w:p>
      <w:pPr>
        <w:pStyle w:val="Style1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Таким образом, Комиссия Управления приходит к выводу, что решение аукционной комиссии Заказчика в части признания заявок ООО «ПримаСервис», ООО «С-К» соответствующими требованиям аукционной документации, нарушают положения ч.7 ст.69 Закона о контрактной системе, поскольку у аукционной комиссии имелись основания для признания вторых частей заявок ООО «ПримаСервис», ООО «С-К» несоответствующими требованиям аукционной докуменатции.</w:t>
      </w:r>
    </w:p>
    <w:p>
      <w:pPr>
        <w:pStyle w:val="Style1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Вместе с тем в ходе проведения внеплановой проверки Комиссией Управления установлено следующее.</w:t>
      </w:r>
    </w:p>
    <w:p>
      <w:pPr>
        <w:pStyle w:val="Style1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Согласно пояснениям представителей Заказчика и Уполномоченного органа работы по монтажу, техническому обслуживанию и ремонту первичных средств пожаротушения составляют незначительную часть от начальной максимальной цены контракта. При этом Заказчиком предъявлено требование о наличии и предоставлении в составе заявки на участие в аукционе лицензии на осуществление деятельности по монтажу, техническому обслуживанию и ремонту первичных средств пожаротушения, что не является основным видом работ по предмету закупки и ограничивает количество участников закупки в нарушение п.2 ч.1 ст.64 Закона о контрактной системе.</w:t>
      </w:r>
    </w:p>
    <w:p>
      <w:pPr>
        <w:pStyle w:val="Style13"/>
        <w:tabs>
          <w:tab w:leader="none" w:pos="552" w:val="left"/>
          <w:tab w:leader="none" w:pos="6081" w:val="left"/>
        </w:tabs>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Кроме того Комиссия Управления отмечает, что аукционной документацией не</w:t>
        <w:tab/>
        <w:t>установлен запрет на привлечение</w:t>
        <w:tab/>
        <w:t>исполнителем соисполнителей</w:t>
      </w:r>
    </w:p>
    <w:p>
      <w:pPr>
        <w:pStyle w:val="Style13"/>
        <w:tabs>
          <w:tab w:leader="none" w:pos="6205"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уполномоченных осуществлять предусмотренные</w:t>
        <w:tab/>
        <w:t>лицензией работы.</w:t>
      </w:r>
    </w:p>
    <w:p>
      <w:pPr>
        <w:pStyle w:val="Style13"/>
        <w:tabs>
          <w:tab w:leader="none" w:pos="6105" w:val="left"/>
        </w:tabs>
        <w:widowControl w:val="0"/>
        <w:keepNext w:val="0"/>
        <w:keepLines w:val="0"/>
        <w:shd w:val="clear" w:color="auto" w:fill="auto"/>
        <w:bidi w:val="0"/>
        <w:jc w:val="both"/>
        <w:spacing w:before="0" w:after="0"/>
        <w:ind w:left="740" w:right="0" w:firstLine="0"/>
      </w:pPr>
      <w:r>
        <w:rPr>
          <w:lang w:val="ru-RU" w:eastAsia="ru-RU" w:bidi="ru-RU"/>
          <w:w w:val="100"/>
          <w:spacing w:val="0"/>
          <w:color w:val="000000"/>
          <w:position w:val="0"/>
        </w:rPr>
        <w:t>Однако, вышеуказанные нарушения не</w:t>
        <w:tab/>
        <w:t>повлияли на ход определения</w:t>
      </w:r>
    </w:p>
    <w:p>
      <w:pPr>
        <w:pStyle w:val="Style13"/>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поставщика, что подтверждается протоколом подведения итогов электронного аукциона от 09.02.2021 №0373200138221000006-3, согласно которому на участие в аукционе подано 12 заявок, при этом на основании неправомерного требования заявки не отклонялись, снижение цены контракта от НМЦК составило 74%.</w:t>
      </w:r>
    </w:p>
    <w:p>
      <w:pPr>
        <w:pStyle w:val="Style13"/>
        <w:widowControl w:val="0"/>
        <w:keepNext w:val="0"/>
        <w:keepLines w:val="0"/>
        <w:shd w:val="clear" w:color="auto" w:fill="auto"/>
        <w:bidi w:val="0"/>
        <w:jc w:val="left"/>
        <w:spacing w:before="0" w:after="349"/>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0"/>
        <w:widowControl w:val="0"/>
        <w:keepNext/>
        <w:keepLines/>
        <w:shd w:val="clear" w:color="auto" w:fill="auto"/>
        <w:bidi w:val="0"/>
        <w:spacing w:before="0" w:after="307" w:line="260" w:lineRule="exact"/>
        <w:ind w:left="20" w:right="0" w:firstLine="0"/>
      </w:pPr>
      <w:bookmarkStart w:id="1" w:name="bookmark1"/>
      <w:r>
        <w:rPr>
          <w:lang w:val="ru-RU" w:eastAsia="ru-RU" w:bidi="ru-RU"/>
          <w:w w:val="100"/>
          <w:spacing w:val="0"/>
          <w:color w:val="000000"/>
          <w:position w:val="0"/>
        </w:rPr>
        <w:t>РЕШИЛА:</w:t>
      </w:r>
      <w:bookmarkEnd w:id="1"/>
    </w:p>
    <w:p>
      <w:pPr>
        <w:pStyle w:val="Style13"/>
        <w:numPr>
          <w:ilvl w:val="0"/>
          <w:numId w:val="3"/>
        </w:numPr>
        <w:tabs>
          <w:tab w:leader="none" w:pos="1463" w:val="left"/>
          <w:tab w:leader="none" w:pos="4328" w:val="right"/>
          <w:tab w:leader="none" w:pos="4535" w:val="left"/>
          <w:tab w:leader="none" w:pos="8028" w:val="center"/>
          <w:tab w:leader="none" w:pos="10167" w:val="right"/>
        </w:tabs>
        <w:widowControl w:val="0"/>
        <w:keepNext w:val="0"/>
        <w:keepLines w:val="0"/>
        <w:shd w:val="clear" w:color="auto" w:fill="auto"/>
        <w:bidi w:val="0"/>
        <w:jc w:val="both"/>
        <w:spacing w:before="0" w:after="0" w:line="317" w:lineRule="exact"/>
        <w:ind w:left="740" w:right="0" w:firstLine="0"/>
      </w:pPr>
      <w:r>
        <w:rPr>
          <w:lang w:val="ru-RU" w:eastAsia="ru-RU" w:bidi="ru-RU"/>
          <w:w w:val="100"/>
          <w:spacing w:val="0"/>
          <w:color w:val="000000"/>
          <w:position w:val="0"/>
        </w:rPr>
        <w:t>Признать</w:t>
        <w:tab/>
        <w:t>жалобу ООО</w:t>
        <w:tab/>
        <w:t>«Строй теле сети» на</w:t>
        <w:tab/>
        <w:t>действия</w:t>
        <w:tab/>
        <w:t>аукционной</w:t>
      </w:r>
    </w:p>
    <w:p>
      <w:pPr>
        <w:pStyle w:val="Style13"/>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комиссии ГБУК Московский театр «Современник» обоснованной.</w:t>
      </w:r>
    </w:p>
    <w:p>
      <w:pPr>
        <w:pStyle w:val="Style13"/>
        <w:numPr>
          <w:ilvl w:val="0"/>
          <w:numId w:val="3"/>
        </w:numPr>
        <w:tabs>
          <w:tab w:leader="none" w:pos="6158" w:val="left"/>
        </w:tabs>
        <w:widowControl w:val="0"/>
        <w:keepNext w:val="0"/>
        <w:keepLines w:val="0"/>
        <w:shd w:val="clear" w:color="auto" w:fill="auto"/>
        <w:bidi w:val="0"/>
        <w:jc w:val="both"/>
        <w:spacing w:before="0" w:after="0"/>
        <w:ind w:left="740" w:right="0" w:firstLine="0"/>
      </w:pPr>
      <w:r>
        <w:rPr>
          <w:lang w:val="ru-RU" w:eastAsia="ru-RU" w:bidi="ru-RU"/>
          <w:w w:val="100"/>
          <w:spacing w:val="0"/>
          <w:color w:val="000000"/>
          <w:position w:val="0"/>
        </w:rPr>
        <w:t xml:space="preserve"> Признать в действиях аукционной</w:t>
        <w:tab/>
        <w:t>комиссии Заказчика нарушение</w:t>
      </w:r>
    </w:p>
    <w:p>
      <w:pPr>
        <w:pStyle w:val="Style13"/>
        <w:tabs>
          <w:tab w:leader="none" w:pos="1463" w:val="left"/>
          <w:tab w:leader="none" w:pos="4328" w:val="right"/>
          <w:tab w:leader="none" w:pos="4534" w:val="left"/>
          <w:tab w:leader="none" w:pos="5677" w:val="left"/>
          <w:tab w:leader="none" w:pos="8028" w:val="center"/>
          <w:tab w:leader="none" w:pos="10167" w:val="righ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ч.7 ст.69</w:t>
        <w:tab/>
        <w:t>Закона о</w:t>
        <w:tab/>
        <w:t>контрактной</w:t>
        <w:tab/>
        <w:t>системе,</w:t>
        <w:tab/>
        <w:t>в действиях</w:t>
        <w:tab/>
        <w:t>Заказчика</w:t>
        <w:tab/>
        <w:t>нарушение</w:t>
      </w:r>
    </w:p>
    <w:p>
      <w:pPr>
        <w:pStyle w:val="Style13"/>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п.2 ч.1 ст.64 Закона о контрактной системе.</w:t>
      </w:r>
    </w:p>
    <w:p>
      <w:pPr>
        <w:pStyle w:val="Style13"/>
        <w:numPr>
          <w:ilvl w:val="0"/>
          <w:numId w:val="3"/>
        </w:numPr>
        <w:tabs>
          <w:tab w:leader="none" w:pos="4328" w:val="right"/>
          <w:tab w:leader="none" w:pos="4530" w:val="left"/>
          <w:tab w:leader="none" w:pos="5584" w:val="left"/>
          <w:tab w:leader="none" w:pos="8028" w:val="center"/>
          <w:tab w:leader="none" w:pos="10167" w:val="right"/>
        </w:tabs>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w:t>
        <w:tab/>
        <w:t>контрактной</w:t>
        <w:tab/>
        <w:t>системе</w:t>
        <w:tab/>
        <w:t>Заказчику не</w:t>
        <w:tab/>
        <w:t>выдавать,</w:t>
        <w:tab/>
        <w:t>поскольку</w:t>
      </w:r>
    </w:p>
    <w:p>
      <w:pPr>
        <w:pStyle w:val="Style13"/>
        <w:widowControl w:val="0"/>
        <w:keepNext w:val="0"/>
        <w:keepLines w:val="0"/>
        <w:shd w:val="clear" w:color="auto" w:fill="auto"/>
        <w:bidi w:val="0"/>
        <w:jc w:val="both"/>
        <w:spacing w:before="0" w:after="300"/>
        <w:ind w:left="0" w:right="20" w:firstLine="0"/>
      </w:pPr>
      <w:r>
        <w:rPr>
          <w:lang w:val="ru-RU" w:eastAsia="ru-RU" w:bidi="ru-RU"/>
          <w:w w:val="100"/>
          <w:spacing w:val="0"/>
          <w:color w:val="000000"/>
          <w:position w:val="0"/>
        </w:rPr>
        <w:t>выявленные нарушения не повлияли на определение поставщика (подрядчика, исполнителя).</w:t>
      </w:r>
    </w:p>
    <w:p>
      <w:pPr>
        <w:pStyle w:val="Style13"/>
        <w:tabs>
          <w:tab w:leader="none" w:pos="1463" w:val="left"/>
          <w:tab w:leader="none" w:pos="4405" w:val="left"/>
          <w:tab w:leader="none" w:pos="5614" w:val="left"/>
          <w:tab w:leader="none" w:pos="8028" w:val="center"/>
          <w:tab w:leader="none" w:pos="10167" w:val="right"/>
        </w:tabs>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г.Москвы</w:t>
        <w:tab/>
        <w:t>в течение 3 (трех)</w:t>
        <w:tab/>
        <w:t>месяцев</w:t>
        <w:tab/>
        <w:t>с даты его</w:t>
        <w:tab/>
        <w:t>принятия</w:t>
        <w:tab/>
        <w:t>в порядке,</w:t>
      </w:r>
    </w:p>
    <w:p>
      <w:pPr>
        <w:pStyle w:val="Style13"/>
        <w:widowControl w:val="0"/>
        <w:keepNext w:val="0"/>
        <w:keepLines w:val="0"/>
        <w:shd w:val="clear" w:color="auto" w:fill="auto"/>
        <w:bidi w:val="0"/>
        <w:jc w:val="both"/>
        <w:spacing w:before="0" w:after="47"/>
        <w:ind w:left="0" w:right="0" w:firstLine="0"/>
      </w:pPr>
      <w:r>
        <w:rPr>
          <w:lang w:val="ru-RU" w:eastAsia="ru-RU" w:bidi="ru-RU"/>
          <w:w w:val="100"/>
          <w:spacing w:val="0"/>
          <w:color w:val="000000"/>
          <w:position w:val="0"/>
        </w:rPr>
        <w:t>установленным гл. 24 АПК РФ.</w:t>
      </w:r>
    </w:p>
    <w:p>
      <w:pPr>
        <w:pStyle w:val="Style13"/>
        <w:tabs>
          <w:tab w:leader="none" w:pos="8866" w:val="center"/>
          <w:tab w:leader="none" w:pos="1016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С.И.</w:t>
        <w:tab/>
        <w:t>Казарин</w:t>
      </w:r>
    </w:p>
    <w:p>
      <w:pPr>
        <w:pStyle w:val="Style13"/>
        <w:tabs>
          <w:tab w:leader="none" w:pos="8866" w:val="center"/>
          <w:tab w:leader="none" w:pos="1016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ДА.</w:t>
        <w:tab/>
        <w:t>Аносов</w:t>
      </w:r>
    </w:p>
    <w:p>
      <w:pPr>
        <w:pStyle w:val="Style13"/>
        <w:widowControl w:val="0"/>
        <w:keepNext w:val="0"/>
        <w:keepLines w:val="0"/>
        <w:shd w:val="clear" w:color="auto" w:fill="auto"/>
        <w:bidi w:val="0"/>
        <w:jc w:val="right"/>
        <w:spacing w:before="0" w:after="1191" w:line="638" w:lineRule="exact"/>
        <w:ind w:left="0" w:right="20" w:firstLine="0"/>
      </w:pPr>
      <w:r>
        <w:rPr>
          <w:lang w:val="ru-RU" w:eastAsia="ru-RU" w:bidi="ru-RU"/>
          <w:w w:val="100"/>
          <w:spacing w:val="0"/>
          <w:color w:val="000000"/>
          <w:position w:val="0"/>
        </w:rPr>
        <w:t>А.А. Матюшенко</w:t>
      </w:r>
    </w:p>
    <w:p>
      <w:pPr>
        <w:pStyle w:val="Style22"/>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pgSz w:w="11906" w:h="16838"/>
      <w:pgMar w:top="1048" w:left="848" w:right="842" w:bottom="13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en-US" w:eastAsia="en-US" w:bidi="en-US"/>
      <w:u w:val="single"/>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5)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8">
    <w:name w:val="Штрих-код (2)_"/>
    <w:basedOn w:val="DefaultParagraphFont"/>
    <w:link w:val="Style1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w:basedOn w:val="CharStyle14"/>
    <w:rPr>
      <w:lang w:val="ru-RU" w:eastAsia="ru-RU" w:bidi="ru-RU"/>
      <w:u w:val="single"/>
      <w:w w:val="100"/>
      <w:spacing w:val="0"/>
      <w:color w:val="000000"/>
      <w:position w:val="0"/>
    </w:rPr>
  </w:style>
  <w:style w:type="character" w:customStyle="1" w:styleId="CharStyle21">
    <w:name w:val="Заголовок №1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6)_"/>
    <w:basedOn w:val="DefaultParagraphFont"/>
    <w:link w:val="Style22"/>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6">
    <w:name w:val="Основной текст (2)"/>
    <w:basedOn w:val="Normal"/>
    <w:link w:val="CharStyle7"/>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before="30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17">
    <w:name w:val="Штрих-код (2)"/>
    <w:basedOn w:val="Normal"/>
    <w:link w:val="CharStyle1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both"/>
      <w:spacing w:before="84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