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rPr>
        <w:t xml:space="preserve">УПРАВЛЕНИЕ </w:t>
      </w:r>
      <w:r>
        <w:rPr>
          <w:rStyle w:val="CharStyle9"/>
        </w:rPr>
        <w:t>Федеральной антимонопольной службы по Республике Карелия</w:t>
      </w:r>
    </w:p>
    <w:p>
      <w:pPr>
        <w:pStyle w:val="Style10"/>
        <w:widowControl w:val="0"/>
        <w:keepNext w:val="0"/>
        <w:keepLines w:val="0"/>
        <w:shd w:val="clear" w:color="auto" w:fill="auto"/>
        <w:bidi w:val="0"/>
        <w:spacing w:before="0" w:after="0"/>
        <w:ind w:left="0" w:right="0" w:firstLine="0"/>
      </w:pPr>
      <w:r>
        <w:rPr>
          <w:rStyle w:val="CharStyle12"/>
        </w:rPr>
        <w:t xml:space="preserve">наб. Варкауса. 1 а, </w:t>
      </w:r>
      <w:r>
        <w:rPr>
          <w:rStyle w:val="CharStyle13"/>
        </w:rPr>
        <w:t xml:space="preserve">г. </w:t>
      </w:r>
      <w:r>
        <w:rPr>
          <w:rStyle w:val="CharStyle12"/>
        </w:rPr>
        <w:t>Петрозаводск.</w:t>
      </w:r>
    </w:p>
    <w:p>
      <w:pPr>
        <w:pStyle w:val="Style10"/>
        <w:widowControl w:val="0"/>
        <w:keepNext w:val="0"/>
        <w:keepLines w:val="0"/>
        <w:shd w:val="clear" w:color="auto" w:fill="auto"/>
        <w:bidi w:val="0"/>
        <w:spacing w:before="0" w:after="233"/>
        <w:ind w:left="0" w:right="0" w:firstLine="0"/>
      </w:pPr>
      <w:r>
        <w:rPr>
          <w:rStyle w:val="CharStyle12"/>
        </w:rPr>
        <w:t>Республика Карелия, 185031 тел/факс (8</w:t>
      </w:r>
      <w:r>
        <w:rPr>
          <w:rStyle w:val="CharStyle13"/>
        </w:rPr>
        <w:t>1</w:t>
      </w:r>
      <w:r>
        <w:rPr>
          <w:rStyle w:val="CharStyle12"/>
        </w:rPr>
        <w:t xml:space="preserve">42) 78-44-30 </w:t>
      </w:r>
      <w:r>
        <w:rPr>
          <w:rStyle w:val="CharStyle12"/>
          <w:lang w:val="en-US" w:eastAsia="en-US" w:bidi="en-US"/>
        </w:rPr>
        <w:t xml:space="preserve">e-mail: to </w:t>
      </w:r>
      <w:r>
        <w:fldChar w:fldCharType="begin"/>
      </w:r>
      <w:r>
        <w:rPr>
          <w:rStyle w:val="CharStyle12"/>
        </w:rPr>
        <w:instrText> HYPERLINK "mailto:10@fas.gov.ru" </w:instrText>
      </w:r>
      <w:r>
        <w:fldChar w:fldCharType="separate"/>
      </w:r>
      <w:r>
        <w:rPr>
          <w:rStyle w:val="Hyperlink"/>
        </w:rPr>
        <w:t>1</w:t>
      </w:r>
      <w:r>
        <w:rPr>
          <w:rStyle w:val="Hyperlink"/>
          <w:lang w:val="en-US" w:eastAsia="en-US" w:bidi="en-US"/>
        </w:rPr>
        <w:t>0@fas.gov.ru</w:t>
      </w:r>
      <w:r>
        <w:fldChar w:fldCharType="end"/>
      </w:r>
    </w:p>
    <w:p>
      <w:pPr>
        <w:pStyle w:val="Style14"/>
        <w:tabs>
          <w:tab w:leader="none" w:pos="2266" w:val="left"/>
        </w:tabs>
        <w:widowControl w:val="0"/>
        <w:keepNext w:val="0"/>
        <w:keepLines w:val="0"/>
        <w:shd w:val="clear" w:color="auto" w:fill="auto"/>
        <w:bidi w:val="0"/>
        <w:spacing w:before="0" w:after="106" w:line="300" w:lineRule="exact"/>
        <w:ind w:left="980" w:right="0" w:firstLine="0"/>
      </w:pPr>
      <w:r>
        <w:rPr>
          <w:rStyle w:val="CharStyle16"/>
          <w:i w:val="0"/>
          <w:iCs w:val="0"/>
        </w:rPr>
        <w:t xml:space="preserve">* </w:t>
      </w:r>
      <w:r>
        <w:rPr>
          <w:rStyle w:val="CharStyle17"/>
          <w:i w:val="0"/>
          <w:iCs w:val="0"/>
        </w:rPr>
        <w:t>9</w:t>
      </w:r>
      <w:r>
        <w:rPr>
          <w:rStyle w:val="CharStyle16"/>
          <w:i w:val="0"/>
          <w:iCs w:val="0"/>
        </w:rPr>
        <w:t xml:space="preserve">- </w:t>
      </w:r>
      <w:r>
        <w:rPr>
          <w:rStyle w:val="CharStyle18"/>
          <w:i w:val="0"/>
          <w:iCs w:val="0"/>
        </w:rPr>
        <w:t>-</w:t>
      </w:r>
      <w:r>
        <w:rPr>
          <w:rStyle w:val="CharStyle18"/>
          <w:vertAlign w:val="superscript"/>
          <w:i w:val="0"/>
          <w:iCs w:val="0"/>
        </w:rPr>
        <w:t>j/</w:t>
      </w:r>
      <w:r>
        <w:rPr>
          <w:rStyle w:val="CharStyle19"/>
          <w:lang w:val="en-US" w:eastAsia="en-US" w:bidi="en-US"/>
          <w:i w:val="0"/>
          <w:iCs w:val="0"/>
        </w:rPr>
        <w:tab/>
      </w:r>
      <w:r>
        <w:rPr>
          <w:rStyle w:val="CharStyle19"/>
          <w:i w:val="0"/>
          <w:iCs w:val="0"/>
        </w:rPr>
        <w:t xml:space="preserve">№ </w:t>
      </w:r>
      <w:r>
        <w:rPr>
          <w:rStyle w:val="CharStyle20"/>
          <w:i/>
          <w:iCs/>
        </w:rPr>
        <w:t>Mol</w:t>
      </w:r>
      <w:r>
        <w:rPr>
          <w:rStyle w:val="CharStyle21"/>
          <w:i/>
          <w:iCs/>
        </w:rPr>
        <w:t xml:space="preserve">001 </w:t>
      </w:r>
      <w:r>
        <w:rPr>
          <w:rStyle w:val="CharStyle22"/>
          <w:i/>
          <w:iCs/>
        </w:rPr>
        <w:t>/О</w:t>
      </w:r>
      <w:r>
        <w:rPr>
          <w:rStyle w:val="CharStyle21"/>
          <w:i/>
          <w:iCs/>
        </w:rPr>
        <w:t>5~-</w:t>
      </w:r>
      <w:r>
        <w:rPr>
          <w:rStyle w:val="CharStyle23"/>
          <w:i/>
          <w:iCs/>
        </w:rPr>
        <w:t>&lt;XLj</w:t>
      </w:r>
    </w:p>
    <w:p>
      <w:pPr>
        <w:pStyle w:val="Style3"/>
        <w:tabs>
          <w:tab w:leader="none" w:pos="2682" w:val="center"/>
        </w:tabs>
        <w:widowControl w:val="0"/>
        <w:keepNext w:val="0"/>
        <w:keepLines w:val="0"/>
        <w:shd w:val="clear" w:color="auto" w:fill="auto"/>
        <w:bidi w:val="0"/>
        <w:jc w:val="both"/>
        <w:spacing w:before="0" w:after="0" w:line="210" w:lineRule="exact"/>
        <w:ind w:left="560" w:right="0" w:firstLine="0"/>
      </w:pPr>
      <w:r>
        <w:rPr>
          <w:rStyle w:val="CharStyle24"/>
          <w:b/>
          <w:bCs/>
        </w:rPr>
        <w:t>На №</w:t>
        <w:tab/>
        <w:t>от</w:t>
      </w:r>
    </w:p>
    <w:p>
      <w:pPr>
        <w:pStyle w:val="Style25"/>
        <w:widowControl w:val="0"/>
        <w:keepNext w:val="0"/>
        <w:keepLines w:val="0"/>
        <w:shd w:val="clear" w:color="auto" w:fill="auto"/>
        <w:bidi w:val="0"/>
        <w:jc w:val="left"/>
        <w:spacing w:before="0" w:after="248"/>
        <w:ind w:left="20" w:right="1380" w:firstLine="0"/>
      </w:pPr>
      <w:r>
        <w:rPr>
          <w:lang w:val="ru-RU" w:eastAsia="ru-RU" w:bidi="ru-RU"/>
          <w:sz w:val="24"/>
          <w:szCs w:val="24"/>
          <w:w w:val="100"/>
          <w:spacing w:val="0"/>
          <w:color w:val="000000"/>
          <w:position w:val="0"/>
        </w:rPr>
        <w:t>дело № 010/06/105-77/2021 04-18/13-2021</w:t>
      </w:r>
    </w:p>
    <w:p>
      <w:pPr>
        <w:pStyle w:val="Style25"/>
        <w:widowControl w:val="0"/>
        <w:keepNext w:val="0"/>
        <w:keepLines w:val="0"/>
        <w:shd w:val="clear" w:color="auto" w:fill="auto"/>
        <w:bidi w:val="0"/>
        <w:jc w:val="left"/>
        <w:spacing w:before="0" w:after="0" w:line="283" w:lineRule="exact"/>
        <w:ind w:left="20" w:right="0" w:firstLine="0"/>
      </w:pPr>
      <w:r>
        <w:rPr>
          <w:lang w:val="ru-RU" w:eastAsia="ru-RU" w:bidi="ru-RU"/>
          <w:sz w:val="24"/>
          <w:szCs w:val="24"/>
          <w:w w:val="100"/>
          <w:spacing w:val="0"/>
          <w:color w:val="000000"/>
          <w:position w:val="0"/>
        </w:rPr>
        <w:t>Заказчик:</w:t>
      </w:r>
    </w:p>
    <w:p>
      <w:pPr>
        <w:pStyle w:val="Style25"/>
        <w:widowControl w:val="0"/>
        <w:keepNext w:val="0"/>
        <w:keepLines w:val="0"/>
        <w:shd w:val="clear" w:color="auto" w:fill="auto"/>
        <w:bidi w:val="0"/>
        <w:jc w:val="left"/>
        <w:spacing w:before="0" w:after="0" w:line="283" w:lineRule="exact"/>
        <w:ind w:left="20" w:right="0" w:firstLine="0"/>
      </w:pPr>
      <w:r>
        <w:rPr>
          <w:lang w:val="ru-RU" w:eastAsia="ru-RU" w:bidi="ru-RU"/>
          <w:sz w:val="24"/>
          <w:szCs w:val="24"/>
          <w:w w:val="100"/>
          <w:spacing w:val="0"/>
          <w:color w:val="000000"/>
          <w:position w:val="0"/>
        </w:rPr>
        <w:t>ГБУЗ РК «Республиканская больница им.В.А.Баранова»</w:t>
      </w:r>
    </w:p>
    <w:p>
      <w:pPr>
        <w:pStyle w:val="Style6"/>
        <w:widowControl w:val="0"/>
        <w:keepNext w:val="0"/>
        <w:keepLines w:val="0"/>
        <w:shd w:val="clear" w:color="auto" w:fill="auto"/>
        <w:bidi w:val="0"/>
        <w:jc w:val="left"/>
        <w:spacing w:before="0" w:after="0" w:line="283" w:lineRule="exact"/>
        <w:ind w:left="20" w:right="0" w:firstLine="0"/>
      </w:pPr>
      <w:r>
        <w:rPr>
          <w:lang w:val="ru-RU" w:eastAsia="ru-RU" w:bidi="ru-RU"/>
          <w:sz w:val="24"/>
          <w:szCs w:val="24"/>
          <w:w w:val="100"/>
          <w:spacing w:val="0"/>
          <w:color w:val="000000"/>
          <w:position w:val="0"/>
        </w:rPr>
        <w:t>ул. Пирогова, д. 3,</w:t>
      </w:r>
    </w:p>
    <w:p>
      <w:pPr>
        <w:pStyle w:val="Style6"/>
        <w:widowControl w:val="0"/>
        <w:keepNext w:val="0"/>
        <w:keepLines w:val="0"/>
        <w:shd w:val="clear" w:color="auto" w:fill="auto"/>
        <w:bidi w:val="0"/>
        <w:jc w:val="left"/>
        <w:spacing w:before="0" w:after="0" w:line="283" w:lineRule="exact"/>
        <w:ind w:left="20" w:right="0" w:firstLine="0"/>
      </w:pPr>
      <w:r>
        <w:rPr>
          <w:lang w:val="ru-RU" w:eastAsia="ru-RU" w:bidi="ru-RU"/>
          <w:sz w:val="24"/>
          <w:szCs w:val="24"/>
          <w:w w:val="100"/>
          <w:spacing w:val="0"/>
          <w:color w:val="000000"/>
          <w:position w:val="0"/>
        </w:rPr>
        <w:t>г. Петрозаводск, 185019</w:t>
      </w:r>
    </w:p>
    <w:p>
      <w:pPr>
        <w:pStyle w:val="Style6"/>
        <w:widowControl w:val="0"/>
        <w:keepNext w:val="0"/>
        <w:keepLines w:val="0"/>
        <w:shd w:val="clear" w:color="auto" w:fill="auto"/>
        <w:bidi w:val="0"/>
        <w:jc w:val="left"/>
        <w:spacing w:before="0" w:after="540" w:line="283" w:lineRule="exact"/>
        <w:ind w:left="20" w:right="0" w:firstLine="0"/>
      </w:pPr>
      <w:r>
        <w:fldChar w:fldCharType="begin"/>
      </w:r>
      <w:r>
        <w:rPr>
          <w:color w:val="000000"/>
        </w:rPr>
        <w:instrText> HYPERLINK "mailto:zakupki@medicine.karelia.ru" </w:instrText>
      </w:r>
      <w:r>
        <w:fldChar w:fldCharType="separate"/>
      </w:r>
      <w:r>
        <w:rPr>
          <w:rStyle w:val="Hyperlink"/>
          <w:lang w:val="en-US" w:eastAsia="en-US" w:bidi="en-US"/>
          <w:sz w:val="24"/>
          <w:szCs w:val="24"/>
          <w:w w:val="100"/>
          <w:spacing w:val="0"/>
          <w:position w:val="0"/>
        </w:rPr>
        <w:t>zakupki@medicine.karelia.ru</w:t>
      </w:r>
      <w:r>
        <w:fldChar w:fldCharType="end"/>
      </w:r>
    </w:p>
    <w:p>
      <w:pPr>
        <w:pStyle w:val="Style25"/>
        <w:widowControl w:val="0"/>
        <w:keepNext w:val="0"/>
        <w:keepLines w:val="0"/>
        <w:shd w:val="clear" w:color="auto" w:fill="auto"/>
        <w:bidi w:val="0"/>
        <w:jc w:val="left"/>
        <w:spacing w:before="0" w:after="0" w:line="283" w:lineRule="exact"/>
        <w:ind w:left="20" w:right="0" w:firstLine="0"/>
      </w:pPr>
      <w:r>
        <w:rPr>
          <w:lang w:val="ru-RU" w:eastAsia="ru-RU" w:bidi="ru-RU"/>
          <w:sz w:val="24"/>
          <w:szCs w:val="24"/>
          <w:w w:val="100"/>
          <w:spacing w:val="0"/>
          <w:color w:val="000000"/>
          <w:position w:val="0"/>
        </w:rPr>
        <w:t>Заявитель:</w:t>
      </w:r>
    </w:p>
    <w:p>
      <w:pPr>
        <w:pStyle w:val="Style25"/>
        <w:widowControl w:val="0"/>
        <w:keepNext w:val="0"/>
        <w:keepLines w:val="0"/>
        <w:shd w:val="clear" w:color="auto" w:fill="auto"/>
        <w:bidi w:val="0"/>
        <w:jc w:val="left"/>
        <w:spacing w:before="0" w:after="0" w:line="283" w:lineRule="exact"/>
        <w:ind w:left="20" w:right="0" w:firstLine="0"/>
      </w:pPr>
      <w:r>
        <w:rPr>
          <w:lang w:val="ru-RU" w:eastAsia="ru-RU" w:bidi="ru-RU"/>
          <w:sz w:val="24"/>
          <w:szCs w:val="24"/>
          <w:w w:val="100"/>
          <w:spacing w:val="0"/>
          <w:color w:val="000000"/>
          <w:position w:val="0"/>
        </w:rPr>
        <w:t>ООО «Медицинские расходные материалы»</w:t>
      </w:r>
    </w:p>
    <w:p>
      <w:pPr>
        <w:pStyle w:val="Style6"/>
        <w:widowControl w:val="0"/>
        <w:keepNext w:val="0"/>
        <w:keepLines w:val="0"/>
        <w:shd w:val="clear" w:color="auto" w:fill="auto"/>
        <w:bidi w:val="0"/>
        <w:jc w:val="left"/>
        <w:spacing w:before="0" w:after="0" w:line="283" w:lineRule="exact"/>
        <w:ind w:left="20" w:right="0" w:firstLine="0"/>
        <w:sectPr>
          <w:footnotePr>
            <w:pos w:val="pageBottom"/>
            <w:numFmt w:val="decimal"/>
            <w:numRestart w:val="continuous"/>
          </w:footnotePr>
          <w:type w:val="continuous"/>
          <w:pgSz w:w="11906" w:h="16838"/>
          <w:pgMar w:top="671" w:left="774" w:right="827" w:bottom="666" w:header="0" w:footer="3" w:gutter="0"/>
          <w:rtlGutter w:val="0"/>
          <w:cols w:num="2" w:space="720" w:equalWidth="0">
            <w:col w:w="4997" w:space="946"/>
            <w:col w:w="4363"/>
          </w:cols>
          <w:noEndnote/>
          <w:docGrid w:linePitch="360"/>
        </w:sectPr>
      </w:pPr>
      <w:r>
        <w:rPr>
          <w:lang w:val="ru-RU" w:eastAsia="ru-RU" w:bidi="ru-RU"/>
          <w:sz w:val="24"/>
          <w:szCs w:val="24"/>
          <w:w w:val="100"/>
          <w:spacing w:val="0"/>
          <w:color w:val="000000"/>
          <w:position w:val="0"/>
        </w:rPr>
        <w:t xml:space="preserve">ул. Садовническая, д. 72, стр 1, э 1 пом III к 5 оф 2 г. Москва, 115035 </w:t>
      </w:r>
      <w:r>
        <w:rPr>
          <w:lang w:val="en-US" w:eastAsia="en-US" w:bidi="en-US"/>
          <w:sz w:val="24"/>
          <w:szCs w:val="24"/>
          <w:w w:val="100"/>
          <w:spacing w:val="0"/>
          <w:color w:val="000000"/>
          <w:position w:val="0"/>
        </w:rPr>
        <w:t>medzakupki@gmail</w:t>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com</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5" w:after="1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36" w:wrap="around" w:vAnchor="text" w:hAnchor="margin" w:x="7953" w:y="595"/>
        <w:widowControl w:val="0"/>
        <w:keepNext w:val="0"/>
        <w:keepLines w:val="0"/>
        <w:shd w:val="clear" w:color="auto" w:fill="auto"/>
        <w:bidi w:val="0"/>
        <w:jc w:val="left"/>
        <w:spacing w:before="0" w:after="0" w:line="230" w:lineRule="exact"/>
        <w:ind w:left="100" w:right="0" w:firstLine="0"/>
      </w:pPr>
      <w:r>
        <w:rPr>
          <w:rStyle w:val="CharStyle27"/>
          <w:spacing w:val="0"/>
        </w:rPr>
        <w:t>г. Петрозаводск</w:t>
      </w:r>
    </w:p>
    <w:p>
      <w:pPr>
        <w:pStyle w:val="Style25"/>
        <w:widowControl w:val="0"/>
        <w:keepNext w:val="0"/>
        <w:keepLines w:val="0"/>
        <w:shd w:val="clear" w:color="auto" w:fill="auto"/>
        <w:bidi w:val="0"/>
        <w:jc w:val="left"/>
        <w:spacing w:before="0" w:after="0" w:line="302" w:lineRule="exact"/>
        <w:ind w:left="3640" w:right="2860" w:firstLine="640"/>
      </w:pPr>
      <w:r>
        <w:rPr>
          <w:lang w:val="ru-RU" w:eastAsia="ru-RU" w:bidi="ru-RU"/>
          <w:sz w:val="24"/>
          <w:szCs w:val="24"/>
          <w:w w:val="100"/>
          <w:spacing w:val="0"/>
          <w:color w:val="000000"/>
          <w:position w:val="0"/>
        </w:rPr>
        <w:t>РЕШЕНИЕ по делу № 010/06/105-77/2021</w:t>
      </w:r>
    </w:p>
    <w:p>
      <w:pPr>
        <w:pStyle w:val="Style6"/>
        <w:widowControl w:val="0"/>
        <w:keepNext w:val="0"/>
        <w:keepLines w:val="0"/>
        <w:shd w:val="clear" w:color="auto" w:fill="auto"/>
        <w:bidi w:val="0"/>
        <w:jc w:val="left"/>
        <w:spacing w:before="0" w:after="240" w:line="293" w:lineRule="exact"/>
        <w:ind w:left="40" w:right="2620" w:firstLine="0"/>
      </w:pPr>
      <w:r>
        <w:rPr>
          <w:lang w:val="ru-RU" w:eastAsia="ru-RU" w:bidi="ru-RU"/>
          <w:sz w:val="24"/>
          <w:szCs w:val="24"/>
          <w:w w:val="100"/>
          <w:spacing w:val="0"/>
          <w:color w:val="000000"/>
          <w:position w:val="0"/>
        </w:rPr>
        <w:t>Резолютивная часть решения объявлена «17» февраля 2021 года Решение в полном объеме изготовлено «19» февраля 2021 года</w:t>
      </w:r>
    </w:p>
    <w:p>
      <w:pPr>
        <w:pStyle w:val="Style6"/>
        <w:widowControl w:val="0"/>
        <w:keepNext w:val="0"/>
        <w:keepLines w:val="0"/>
        <w:shd w:val="clear" w:color="auto" w:fill="auto"/>
        <w:bidi w:val="0"/>
        <w:jc w:val="both"/>
        <w:spacing w:before="0" w:after="0" w:line="293" w:lineRule="exact"/>
        <w:ind w:left="40" w:right="20" w:firstLine="580"/>
      </w:pPr>
      <w:r>
        <w:rPr>
          <w:lang w:val="ru-RU" w:eastAsia="ru-RU" w:bidi="ru-RU"/>
          <w:sz w:val="24"/>
          <w:szCs w:val="24"/>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6"/>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 ФАС России;</w:t>
      </w:r>
    </w:p>
    <w:p>
      <w:pPr>
        <w:pStyle w:val="Style6"/>
        <w:widowControl w:val="0"/>
        <w:keepNext w:val="0"/>
        <w:keepLines w:val="0"/>
        <w:shd w:val="clear" w:color="auto" w:fill="auto"/>
        <w:bidi w:val="0"/>
        <w:jc w:val="both"/>
        <w:spacing w:before="0" w:after="0" w:line="288" w:lineRule="exact"/>
        <w:ind w:left="40" w:right="20" w:firstLine="580"/>
      </w:pPr>
      <w:r>
        <w:rPr>
          <w:lang w:val="ru-RU" w:eastAsia="ru-RU" w:bidi="ru-RU"/>
          <w:sz w:val="24"/>
          <w:szCs w:val="24"/>
          <w:w w:val="100"/>
          <w:spacing w:val="0"/>
          <w:color w:val="000000"/>
          <w:position w:val="0"/>
        </w:rPr>
        <w:t>Суханов М.С. - член Комиссии, заместитель начальника отдела контроля органов власти и закупок Карельского У ФАС России;</w:t>
      </w:r>
    </w:p>
    <w:p>
      <w:pPr>
        <w:pStyle w:val="Style6"/>
        <w:widowControl w:val="0"/>
        <w:keepNext w:val="0"/>
        <w:keepLines w:val="0"/>
        <w:shd w:val="clear" w:color="auto" w:fill="auto"/>
        <w:bidi w:val="0"/>
        <w:jc w:val="both"/>
        <w:spacing w:before="0" w:after="240" w:line="293" w:lineRule="exact"/>
        <w:ind w:left="40" w:right="20" w:firstLine="580"/>
      </w:pPr>
      <w:r>
        <w:rPr>
          <w:lang w:val="ru-RU" w:eastAsia="ru-RU" w:bidi="ru-RU"/>
          <w:sz w:val="24"/>
          <w:szCs w:val="24"/>
          <w:w w:val="100"/>
          <w:spacing w:val="0"/>
          <w:color w:val="000000"/>
          <w:position w:val="0"/>
        </w:rPr>
        <w:t>Лайдинен О.В. - член Комиссии, ведущий специалист-эксперт отдела контроля органов власти и закупок Карельского У ФАС России;</w:t>
      </w:r>
    </w:p>
    <w:p>
      <w:pPr>
        <w:pStyle w:val="Style6"/>
        <w:numPr>
          <w:ilvl w:val="0"/>
          <w:numId w:val="1"/>
        </w:numPr>
        <w:widowControl w:val="0"/>
        <w:keepNext w:val="0"/>
        <w:keepLines w:val="0"/>
        <w:shd w:val="clear" w:color="auto" w:fill="auto"/>
        <w:bidi w:val="0"/>
        <w:jc w:val="both"/>
        <w:spacing w:before="0" w:after="0" w:line="293" w:lineRule="exact"/>
        <w:ind w:left="40" w:right="20" w:firstLine="580"/>
      </w:pPr>
      <w:r>
        <w:rPr>
          <w:lang w:val="ru-RU" w:eastAsia="ru-RU" w:bidi="ru-RU"/>
          <w:sz w:val="24"/>
          <w:szCs w:val="24"/>
          <w:w w:val="100"/>
          <w:spacing w:val="0"/>
          <w:color w:val="000000"/>
          <w:position w:val="0"/>
        </w:rPr>
        <w:t xml:space="preserve"> при участии представителей Заказчика - ГБУЗ РК «Республиканская больница им.В.А.Баранова» Канючковой Ю.А. (копия доверенности в материалах дела) в режиме видеоконференцсвязи после перерыва;</w:t>
      </w:r>
    </w:p>
    <w:p>
      <w:pPr>
        <w:pStyle w:val="Style6"/>
        <w:numPr>
          <w:ilvl w:val="0"/>
          <w:numId w:val="1"/>
        </w:numPr>
        <w:widowControl w:val="0"/>
        <w:keepNext w:val="0"/>
        <w:keepLines w:val="0"/>
        <w:shd w:val="clear" w:color="auto" w:fill="auto"/>
        <w:bidi w:val="0"/>
        <w:jc w:val="both"/>
        <w:spacing w:before="0" w:after="240" w:line="293" w:lineRule="exact"/>
        <w:ind w:left="40" w:right="20" w:firstLine="580"/>
      </w:pPr>
      <w:r>
        <w:rPr>
          <w:lang w:val="ru-RU" w:eastAsia="ru-RU" w:bidi="ru-RU"/>
          <w:sz w:val="24"/>
          <w:szCs w:val="24"/>
          <w:w w:val="100"/>
          <w:spacing w:val="0"/>
          <w:color w:val="000000"/>
          <w:position w:val="0"/>
        </w:rPr>
        <w:t xml:space="preserve"> без участия представителя Заявителя - ООО «Медицинские расходные материалы» (ходатайство о рассмотрении дела по жалобе ООО «МРМ») в режиме видеоконференцсвязи до и после перерыва;</w:t>
      </w:r>
    </w:p>
    <w:p>
      <w:pPr>
        <w:pStyle w:val="Style6"/>
        <w:widowControl w:val="0"/>
        <w:keepNext w:val="0"/>
        <w:keepLines w:val="0"/>
        <w:shd w:val="clear" w:color="auto" w:fill="auto"/>
        <w:bidi w:val="0"/>
        <w:jc w:val="both"/>
        <w:spacing w:before="0" w:after="0" w:line="293" w:lineRule="exact"/>
        <w:ind w:left="40" w:right="20" w:firstLine="580"/>
      </w:pPr>
      <w:r>
        <w:rPr>
          <w:lang w:val="ru-RU" w:eastAsia="ru-RU" w:bidi="ru-RU"/>
          <w:sz w:val="24"/>
          <w:szCs w:val="24"/>
          <w:w w:val="100"/>
          <w:spacing w:val="0"/>
          <w:color w:val="000000"/>
          <w:position w:val="0"/>
        </w:rPr>
        <w:t>рассмотрев жалобу ООО «Медицинские расходные материалы» на действия Заказчика - ГБУЗ РК «Республиканская больница им.В.А.Баранова» при проведении электронного аукциона на поставку медицинских изделий для диагностических отделений (извещение № 0306500000321000045) и в результате осуществления внеплановой проверки в соответствии с частью 15 статьи 99 Федерального закона от</w:t>
      </w:r>
    </w:p>
    <w:p>
      <w:pPr>
        <w:pStyle w:val="Style6"/>
        <w:numPr>
          <w:ilvl w:val="0"/>
          <w:numId w:val="3"/>
        </w:numPr>
        <w:tabs>
          <w:tab w:leader="none" w:pos="1341" w:val="left"/>
        </w:tabs>
        <w:widowControl w:val="0"/>
        <w:keepNext w:val="0"/>
        <w:keepLines w:val="0"/>
        <w:shd w:val="clear" w:color="auto" w:fill="auto"/>
        <w:bidi w:val="0"/>
        <w:jc w:val="both"/>
        <w:spacing w:before="0" w:after="0" w:line="293" w:lineRule="exact"/>
        <w:ind w:left="40" w:right="0" w:firstLine="0"/>
      </w:pPr>
      <w:r>
        <w:rPr>
          <w:lang w:val="ru-RU" w:eastAsia="ru-RU" w:bidi="ru-RU"/>
          <w:sz w:val="24"/>
          <w:szCs w:val="24"/>
          <w:w w:val="100"/>
          <w:spacing w:val="0"/>
          <w:color w:val="000000"/>
          <w:position w:val="0"/>
        </w:rPr>
        <w:t>№ 44-ФЗ «О контрактной системе в сфере закупок товаров ца^р^^^луг.для</w:t>
        <w:br w:type="page"/>
        <w:t>обеспечения государственных и муниципальных нужд» (далее - Закон о контрактной системе), Административным регламентом, утвержденным Приказом ФАС России от</w:t>
      </w:r>
    </w:p>
    <w:p>
      <w:pPr>
        <w:pStyle w:val="Style6"/>
        <w:numPr>
          <w:ilvl w:val="0"/>
          <w:numId w:val="5"/>
        </w:numPr>
        <w:tabs>
          <w:tab w:leader="none" w:pos="1321" w:val="left"/>
        </w:tabs>
        <w:widowControl w:val="0"/>
        <w:keepNext w:val="0"/>
        <w:keepLines w:val="0"/>
        <w:shd w:val="clear" w:color="auto" w:fill="auto"/>
        <w:bidi w:val="0"/>
        <w:jc w:val="both"/>
        <w:spacing w:before="0" w:after="106" w:line="298" w:lineRule="exact"/>
        <w:ind w:left="40" w:right="0" w:firstLine="0"/>
      </w:pPr>
      <w:r>
        <w:rPr>
          <w:lang w:val="ru-RU" w:eastAsia="ru-RU" w:bidi="ru-RU"/>
          <w:sz w:val="24"/>
          <w:szCs w:val="24"/>
          <w:w w:val="100"/>
          <w:spacing w:val="0"/>
          <w:color w:val="000000"/>
          <w:position w:val="0"/>
        </w:rPr>
        <w:t>№ 727/14 (зарегистрировано в Минюсте России 27.02.2015 № 36262)</w:t>
      </w:r>
    </w:p>
    <w:p>
      <w:pPr>
        <w:pStyle w:val="Style28"/>
        <w:widowControl w:val="0"/>
        <w:keepNext/>
        <w:keepLines/>
        <w:shd w:val="clear" w:color="auto" w:fill="auto"/>
        <w:bidi w:val="0"/>
        <w:spacing w:before="0" w:after="72" w:line="240" w:lineRule="exact"/>
        <w:ind w:left="0" w:right="0" w:firstLine="0"/>
      </w:pPr>
      <w:bookmarkStart w:id="0" w:name="bookmark0"/>
      <w:r>
        <w:rPr>
          <w:lang w:val="ru-RU" w:eastAsia="ru-RU" w:bidi="ru-RU"/>
          <w:sz w:val="24"/>
          <w:szCs w:val="24"/>
          <w:w w:val="100"/>
          <w:spacing w:val="0"/>
          <w:color w:val="000000"/>
          <w:position w:val="0"/>
        </w:rPr>
        <w:t>установила:</w:t>
      </w:r>
      <w:bookmarkEnd w:id="0"/>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 xml:space="preserve">В своей жалобе Заявитель указывает на неправомерные действия Заказчика, нарушающие, по мнению Заявителя, требования Закона о контрактной системе, в части ненадлежащего описания объекта закупки. Заказчик установил технические характеристики товара, требуемого к поставке, соответствующего только товару одного производителя, а именно: </w:t>
      </w:r>
      <w:r>
        <w:rPr>
          <w:lang w:val="en-US" w:eastAsia="en-US" w:bidi="en-US"/>
          <w:sz w:val="24"/>
          <w:szCs w:val="24"/>
          <w:w w:val="100"/>
          <w:spacing w:val="0"/>
          <w:color w:val="000000"/>
          <w:position w:val="0"/>
        </w:rPr>
        <w:t xml:space="preserve">MEDICO </w:t>
      </w:r>
      <w:r>
        <w:rPr>
          <w:lang w:val="ru-RU" w:eastAsia="ru-RU" w:bidi="ru-RU"/>
          <w:sz w:val="24"/>
          <w:szCs w:val="24"/>
          <w:w w:val="100"/>
          <w:spacing w:val="0"/>
          <w:color w:val="000000"/>
          <w:position w:val="0"/>
        </w:rPr>
        <w:t>(Индия), что ограничивает количество участников закупки.</w:t>
      </w:r>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ООО «Медицинские расходные материалы» просит признать жалобу обоснованной, выдать Заказчику предписание о приостановке процедуры закупки.</w:t>
      </w:r>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Заказчиком в Карельское УФАС России письмом от 16.02.2021 направлены пояснения по доводам, изложенным в жалобе, согласно которым просит признать жалобу необоснованной.</w:t>
      </w:r>
    </w:p>
    <w:p>
      <w:pPr>
        <w:pStyle w:val="Style6"/>
        <w:widowControl w:val="0"/>
        <w:keepNext w:val="0"/>
        <w:keepLines w:val="0"/>
        <w:shd w:val="clear" w:color="auto" w:fill="auto"/>
        <w:bidi w:val="0"/>
        <w:jc w:val="left"/>
        <w:spacing w:before="0" w:after="0" w:line="298" w:lineRule="exact"/>
        <w:ind w:left="40" w:right="40" w:firstLine="560"/>
      </w:pPr>
      <w:r>
        <w:rPr>
          <w:lang w:val="ru-RU" w:eastAsia="ru-RU" w:bidi="ru-RU"/>
          <w:sz w:val="24"/>
          <w:szCs w:val="24"/>
          <w:w w:val="100"/>
          <w:spacing w:val="0"/>
          <w:color w:val="000000"/>
          <w:position w:val="0"/>
        </w:rPr>
        <w:t xml:space="preserve">Документация об аукционе утверждена главным врачом ГБУЗ РК «Республиканская больница им.В.А.Баранова» и размещена на официальном сайте Единой информационной системы в сфере закупок </w:t>
      </w:r>
      <w:r>
        <w:rPr>
          <w:rStyle w:val="CharStyle30"/>
          <w:lang w:val="en-US" w:eastAsia="en-US" w:bidi="en-US"/>
        </w:rPr>
        <w:t>(</w:t>
      </w:r>
      <w:r>
        <w:fldChar w:fldCharType="begin"/>
      </w:r>
      <w:r>
        <w:rPr>
          <w:rStyle w:val="CharStyle30"/>
        </w:rPr>
        <w:instrText> HYPERLINK "http://zakupki.gov.ru" </w:instrText>
      </w:r>
      <w:r>
        <w:fldChar w:fldCharType="separate"/>
      </w:r>
      <w:r>
        <w:rPr>
          <w:rStyle w:val="Hyperlink"/>
          <w:lang w:val="en-US" w:eastAsia="en-US" w:bidi="en-US"/>
        </w:rPr>
        <w:t>http://zakupki</w:t>
      </w:r>
      <w:r>
        <w:rPr>
          <w:rStyle w:val="Hyperlink"/>
        </w:rPr>
        <w:t>.</w:t>
      </w:r>
      <w:r>
        <w:rPr>
          <w:rStyle w:val="Hyperlink"/>
          <w:lang w:val="en-US" w:eastAsia="en-US" w:bidi="en-US"/>
        </w:rPr>
        <w:t>gov.ru</w:t>
      </w:r>
      <w:r>
        <w:fldChar w:fldCharType="end"/>
      </w:r>
      <w:r>
        <w:rPr>
          <w:rStyle w:val="CharStyle30"/>
          <w:lang w:val="en-US" w:eastAsia="en-US" w:bidi="en-US"/>
        </w:rPr>
        <w:t>)</w:t>
      </w:r>
      <w:r>
        <w:rPr>
          <w:lang w:val="en-US" w:eastAsia="en-US" w:bidi="en-US"/>
          <w:sz w:val="24"/>
          <w:szCs w:val="24"/>
          <w:w w:val="100"/>
          <w:spacing w:val="0"/>
          <w:color w:val="000000"/>
          <w:position w:val="0"/>
        </w:rPr>
        <w:t xml:space="preserve"> 02.02.2021. </w:t>
      </w:r>
      <w:r>
        <w:rPr>
          <w:lang w:val="ru-RU" w:eastAsia="ru-RU" w:bidi="ru-RU"/>
          <w:sz w:val="24"/>
          <w:szCs w:val="24"/>
          <w:w w:val="100"/>
          <w:spacing w:val="0"/>
          <w:color w:val="000000"/>
          <w:position w:val="0"/>
        </w:rPr>
        <w:t>Номер извещения: 0306500000321000045.</w:t>
      </w:r>
    </w:p>
    <w:p>
      <w:pPr>
        <w:pStyle w:val="Style6"/>
        <w:tabs>
          <w:tab w:leader="none" w:pos="5155" w:val="left"/>
        </w:tabs>
        <w:widowControl w:val="0"/>
        <w:keepNext w:val="0"/>
        <w:keepLines w:val="0"/>
        <w:shd w:val="clear" w:color="auto" w:fill="auto"/>
        <w:bidi w:val="0"/>
        <w:jc w:val="both"/>
        <w:spacing w:before="0" w:after="0" w:line="298" w:lineRule="exact"/>
        <w:ind w:left="40" w:right="0" w:firstLine="560"/>
      </w:pPr>
      <w:r>
        <w:rPr>
          <w:lang w:val="ru-RU" w:eastAsia="ru-RU" w:bidi="ru-RU"/>
          <w:sz w:val="24"/>
          <w:szCs w:val="24"/>
          <w:w w:val="100"/>
          <w:spacing w:val="0"/>
          <w:color w:val="000000"/>
          <w:position w:val="0"/>
        </w:rPr>
        <w:t>Краткое наименование аукциона:</w:t>
        <w:tab/>
        <w:t>поставка медицинских изделий для</w:t>
      </w:r>
    </w:p>
    <w:p>
      <w:pPr>
        <w:pStyle w:val="Style6"/>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диагностических отделений.</w:t>
      </w:r>
    </w:p>
    <w:p>
      <w:pPr>
        <w:pStyle w:val="Style6"/>
        <w:widowControl w:val="0"/>
        <w:keepNext w:val="0"/>
        <w:keepLines w:val="0"/>
        <w:shd w:val="clear" w:color="auto" w:fill="auto"/>
        <w:bidi w:val="0"/>
        <w:jc w:val="both"/>
        <w:spacing w:before="0" w:after="0" w:line="298" w:lineRule="exact"/>
        <w:ind w:left="40" w:right="0" w:firstLine="560"/>
      </w:pPr>
      <w:r>
        <w:rPr>
          <w:lang w:val="ru-RU" w:eastAsia="ru-RU" w:bidi="ru-RU"/>
          <w:sz w:val="24"/>
          <w:szCs w:val="24"/>
          <w:w w:val="100"/>
          <w:spacing w:val="0"/>
          <w:color w:val="000000"/>
          <w:position w:val="0"/>
        </w:rPr>
        <w:t>Способ закупки: электронный аукцион.</w:t>
      </w:r>
    </w:p>
    <w:p>
      <w:pPr>
        <w:pStyle w:val="Style6"/>
        <w:widowControl w:val="0"/>
        <w:keepNext w:val="0"/>
        <w:keepLines w:val="0"/>
        <w:shd w:val="clear" w:color="auto" w:fill="auto"/>
        <w:bidi w:val="0"/>
        <w:jc w:val="both"/>
        <w:spacing w:before="0" w:after="0" w:line="298" w:lineRule="exact"/>
        <w:ind w:left="40" w:right="0" w:firstLine="560"/>
      </w:pPr>
      <w:r>
        <w:rPr>
          <w:lang w:val="ru-RU" w:eastAsia="ru-RU" w:bidi="ru-RU"/>
          <w:sz w:val="24"/>
          <w:szCs w:val="24"/>
          <w:w w:val="100"/>
          <w:spacing w:val="0"/>
          <w:color w:val="000000"/>
          <w:position w:val="0"/>
        </w:rPr>
        <w:t xml:space="preserve">Адрес электронной площадки: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w:t>
      </w:r>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Заказчик: Государственное бюджетное учреждение здравоохранения Республики Карелия «Республиканская больница им.В.А.Баранова» (сокращенное наименование ГБУЗ «Республиканская больница им.В.А.Баранова»).</w:t>
      </w:r>
    </w:p>
    <w:p>
      <w:pPr>
        <w:pStyle w:val="Style6"/>
        <w:widowControl w:val="0"/>
        <w:keepNext w:val="0"/>
        <w:keepLines w:val="0"/>
        <w:shd w:val="clear" w:color="auto" w:fill="auto"/>
        <w:bidi w:val="0"/>
        <w:jc w:val="both"/>
        <w:spacing w:before="0" w:after="0" w:line="298" w:lineRule="exact"/>
        <w:ind w:left="40" w:right="0" w:firstLine="560"/>
      </w:pPr>
      <w:r>
        <w:rPr>
          <w:lang w:val="ru-RU" w:eastAsia="ru-RU" w:bidi="ru-RU"/>
          <w:sz w:val="24"/>
          <w:szCs w:val="24"/>
          <w:w w:val="100"/>
          <w:spacing w:val="0"/>
          <w:color w:val="000000"/>
          <w:position w:val="0"/>
        </w:rPr>
        <w:t>Начальная (максимальная) цена контракта: 3 965 518,39 рублей.</w:t>
      </w:r>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Согласно протоколу заявок на участие в электронном аукционе от 12.02.2021 №0306500000321000045-1, были рассмотрены 2 (две) заявки, обе заявки допущены к участию в аукционе.</w:t>
      </w:r>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Согласно протоколу подведения итогов электронного аукциона от 17.02.2021 №0306500000321000045-3,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На основании части 13 статьи 69 Закона о контрактной системе электронный аукцион признается несостоявшимся.</w:t>
      </w:r>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Рассмотрение жалобы назначено на 10 часов 00 минут 16.02.2021 в режиме видеоконференцсвязи, состоялось в указанное время.</w:t>
      </w:r>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В связи с необходимостью получения дополнительных документов от Заказчика, Комиссией Карельского УФАС России объявлен перерыв до 16 час. 00 мин. 17.02.2021.</w:t>
      </w:r>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После перерыва рассмотрение жалобы в режиме видеоконференцсвязи продолжилось Комиссией в прежнем составе без участия представителей Заказчика, Заявителя.</w:t>
      </w:r>
    </w:p>
    <w:p>
      <w:pPr>
        <w:pStyle w:val="Style6"/>
        <w:widowControl w:val="0"/>
        <w:keepNext w:val="0"/>
        <w:keepLines w:val="0"/>
        <w:shd w:val="clear" w:color="auto" w:fill="auto"/>
        <w:bidi w:val="0"/>
        <w:jc w:val="both"/>
        <w:spacing w:before="0" w:after="0" w:line="298" w:lineRule="exact"/>
        <w:ind w:left="40" w:right="40" w:firstLine="560"/>
      </w:pPr>
      <w:r>
        <w:rPr>
          <w:lang w:val="ru-RU" w:eastAsia="ru-RU" w:bidi="ru-RU"/>
          <w:sz w:val="24"/>
          <w:szCs w:val="24"/>
          <w:w w:val="100"/>
          <w:spacing w:val="0"/>
          <w:color w:val="000000"/>
          <w:position w:val="0"/>
        </w:rPr>
        <w:t>На момент рассмотрения поступившей жалобы государственный контракт не заключен.</w:t>
      </w:r>
    </w:p>
    <w:p>
      <w:pPr>
        <w:pStyle w:val="Style25"/>
        <w:widowControl w:val="0"/>
        <w:keepNext w:val="0"/>
        <w:keepLines w:val="0"/>
        <w:shd w:val="clear" w:color="auto" w:fill="auto"/>
        <w:bidi w:val="0"/>
        <w:jc w:val="both"/>
        <w:spacing w:before="0" w:after="0"/>
        <w:ind w:left="60" w:right="60" w:firstLine="600"/>
      </w:pPr>
      <w:r>
        <w:rPr>
          <w:lang w:val="ru-RU" w:eastAsia="ru-RU" w:bidi="ru-RU"/>
          <w:sz w:val="24"/>
          <w:szCs w:val="24"/>
          <w:w w:val="100"/>
          <w:spacing w:val="0"/>
          <w:color w:val="000000"/>
          <w:position w:val="0"/>
        </w:rPr>
        <w:t>Изучив представленные материалы, заслушав пояснения представителей лиц, участвующих в деле, Комиссия Карельского УФАС России пришла к следующим выводам:</w:t>
      </w:r>
    </w:p>
    <w:p>
      <w:pPr>
        <w:pStyle w:val="Style6"/>
        <w:widowControl w:val="0"/>
        <w:keepNext w:val="0"/>
        <w:keepLines w:val="0"/>
        <w:shd w:val="clear" w:color="auto" w:fill="auto"/>
        <w:bidi w:val="0"/>
        <w:jc w:val="both"/>
        <w:spacing w:before="0" w:after="0" w:line="293" w:lineRule="exact"/>
        <w:ind w:left="60" w:right="60" w:firstLine="600"/>
      </w:pPr>
      <w:r>
        <w:rPr>
          <w:lang w:val="ru-RU" w:eastAsia="ru-RU" w:bidi="ru-RU"/>
          <w:sz w:val="24"/>
          <w:szCs w:val="24"/>
          <w:w w:val="100"/>
          <w:spacing w:val="0"/>
          <w:color w:val="000000"/>
          <w:position w:val="0"/>
        </w:rPr>
        <w:t xml:space="preserve">Частью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w:t>
      </w:r>
      <w:r>
        <w:rPr>
          <w:rStyle w:val="CharStyle31"/>
        </w:rPr>
        <w:t>в том числе приводят к ограничению конкуренции, в частности к необоснованному ограничению числа участников закупок.</w:t>
      </w:r>
    </w:p>
    <w:p>
      <w:pPr>
        <w:pStyle w:val="Style6"/>
        <w:widowControl w:val="0"/>
        <w:keepNext w:val="0"/>
        <w:keepLines w:val="0"/>
        <w:shd w:val="clear" w:color="auto" w:fill="auto"/>
        <w:bidi w:val="0"/>
        <w:jc w:val="both"/>
        <w:spacing w:before="0" w:after="0" w:line="293" w:lineRule="exact"/>
        <w:ind w:left="60" w:right="60" w:firstLine="60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6"/>
        <w:widowControl w:val="0"/>
        <w:keepNext w:val="0"/>
        <w:keepLines w:val="0"/>
        <w:shd w:val="clear" w:color="auto" w:fill="auto"/>
        <w:bidi w:val="0"/>
        <w:jc w:val="both"/>
        <w:spacing w:before="0" w:after="0" w:line="293" w:lineRule="exact"/>
        <w:ind w:left="60" w:right="60" w:firstLine="600"/>
      </w:pPr>
      <w:r>
        <w:rPr>
          <w:lang w:val="ru-RU" w:eastAsia="ru-RU" w:bidi="ru-RU"/>
          <w:sz w:val="24"/>
          <w:szCs w:val="24"/>
          <w:w w:val="100"/>
          <w:spacing w:val="0"/>
          <w:color w:val="000000"/>
          <w:position w:val="0"/>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widowControl w:val="0"/>
        <w:keepNext w:val="0"/>
        <w:keepLines w:val="0"/>
        <w:shd w:val="clear" w:color="auto" w:fill="auto"/>
        <w:bidi w:val="0"/>
        <w:jc w:val="both"/>
        <w:spacing w:before="0" w:after="0" w:line="293" w:lineRule="exact"/>
        <w:ind w:left="60" w:right="60" w:firstLine="600"/>
      </w:pPr>
      <w:r>
        <w:rPr>
          <w:lang w:val="ru-RU" w:eastAsia="ru-RU" w:bidi="ru-RU"/>
          <w:sz w:val="24"/>
          <w:szCs w:val="24"/>
          <w:w w:val="100"/>
          <w:spacing w:val="0"/>
          <w:color w:val="000000"/>
          <w:position w:val="0"/>
        </w:rPr>
        <w:t>В соответствии с пунктом 2 части 1 статьи 33 Закона о контрактной системе,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w:t>
      </w:r>
    </w:p>
    <w:p>
      <w:pPr>
        <w:pStyle w:val="Style6"/>
        <w:widowControl w:val="0"/>
        <w:keepNext w:val="0"/>
        <w:keepLines w:val="0"/>
        <w:shd w:val="clear" w:color="auto" w:fill="auto"/>
        <w:bidi w:val="0"/>
        <w:jc w:val="left"/>
        <w:spacing w:before="0" w:after="0" w:line="293" w:lineRule="exact"/>
        <w:ind w:left="160" w:right="440" w:firstLine="0"/>
      </w:pPr>
      <w:r>
        <w:rPr>
          <w:lang w:val="ru-RU" w:eastAsia="ru-RU" w:bidi="ru-RU"/>
          <w:sz w:val="24"/>
          <w:szCs w:val="24"/>
          <w:w w:val="100"/>
          <w:spacing w:val="0"/>
          <w:color w:val="000000"/>
          <w:position w:val="0"/>
        </w:rPr>
        <w:t>обоснование необходимости использования других показателей, требований, условных обозначений и терминологии;</w:t>
      </w:r>
    </w:p>
    <w:p>
      <w:pPr>
        <w:pStyle w:val="Style6"/>
        <w:widowControl w:val="0"/>
        <w:keepNext w:val="0"/>
        <w:keepLines w:val="0"/>
        <w:shd w:val="clear" w:color="auto" w:fill="auto"/>
        <w:bidi w:val="0"/>
        <w:jc w:val="both"/>
        <w:spacing w:before="0" w:after="0" w:line="293" w:lineRule="exact"/>
        <w:ind w:left="160" w:right="440" w:firstLine="580"/>
      </w:pPr>
      <w:r>
        <w:rPr>
          <w:lang w:val="ru-RU" w:eastAsia="ru-RU" w:bidi="ru-RU"/>
          <w:sz w:val="24"/>
          <w:szCs w:val="24"/>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widowControl w:val="0"/>
        <w:keepNext w:val="0"/>
        <w:keepLines w:val="0"/>
        <w:shd w:val="clear" w:color="auto" w:fill="auto"/>
        <w:bidi w:val="0"/>
        <w:jc w:val="both"/>
        <w:spacing w:before="0" w:after="0" w:line="293" w:lineRule="exact"/>
        <w:ind w:left="160" w:right="440" w:firstLine="580"/>
      </w:pPr>
      <w:r>
        <w:rPr>
          <w:lang w:val="ru-RU" w:eastAsia="ru-RU" w:bidi="ru-RU"/>
          <w:sz w:val="24"/>
          <w:szCs w:val="24"/>
          <w:w w:val="100"/>
          <w:spacing w:val="0"/>
          <w:color w:val="000000"/>
          <w:position w:val="0"/>
        </w:rPr>
        <w:t>В силу части 2 статьи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6"/>
        <w:widowControl w:val="0"/>
        <w:keepNext w:val="0"/>
        <w:keepLines w:val="0"/>
        <w:shd w:val="clear" w:color="auto" w:fill="auto"/>
        <w:bidi w:val="0"/>
        <w:jc w:val="both"/>
        <w:spacing w:before="0" w:after="0" w:line="293" w:lineRule="exact"/>
        <w:ind w:left="160" w:right="440" w:firstLine="580"/>
      </w:pPr>
      <w:r>
        <w:rPr>
          <w:lang w:val="ru-RU" w:eastAsia="ru-RU" w:bidi="ru-RU"/>
          <w:sz w:val="24"/>
          <w:szCs w:val="24"/>
          <w:w w:val="100"/>
          <w:spacing w:val="0"/>
          <w:color w:val="000000"/>
          <w:position w:val="0"/>
        </w:rPr>
        <w:t>Документация о закупке в соответствии с требованиями части 2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widowControl w:val="0"/>
        <w:keepNext w:val="0"/>
        <w:keepLines w:val="0"/>
        <w:shd w:val="clear" w:color="auto" w:fill="auto"/>
        <w:bidi w:val="0"/>
        <w:jc w:val="both"/>
        <w:spacing w:before="0" w:after="0" w:line="293" w:lineRule="exact"/>
        <w:ind w:left="160" w:right="440" w:firstLine="580"/>
      </w:pPr>
      <w:r>
        <w:rPr>
          <w:lang w:val="ru-RU" w:eastAsia="ru-RU" w:bidi="ru-RU"/>
          <w:sz w:val="24"/>
          <w:szCs w:val="24"/>
          <w:w w:val="100"/>
          <w:spacing w:val="0"/>
          <w:color w:val="000000"/>
          <w:position w:val="0"/>
        </w:rPr>
        <w:t>Таким образом,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w:t>
      </w:r>
    </w:p>
    <w:p>
      <w:pPr>
        <w:pStyle w:val="Style6"/>
        <w:widowControl w:val="0"/>
        <w:keepNext w:val="0"/>
        <w:keepLines w:val="0"/>
        <w:shd w:val="clear" w:color="auto" w:fill="auto"/>
        <w:bidi w:val="0"/>
        <w:jc w:val="both"/>
        <w:spacing w:before="0" w:after="0" w:line="293" w:lineRule="exact"/>
        <w:ind w:left="160" w:right="440" w:firstLine="580"/>
      </w:pPr>
      <w:r>
        <w:rPr>
          <w:lang w:val="ru-RU" w:eastAsia="ru-RU" w:bidi="ru-RU"/>
          <w:sz w:val="24"/>
          <w:szCs w:val="24"/>
          <w:w w:val="100"/>
          <w:spacing w:val="0"/>
          <w:color w:val="000000"/>
          <w:position w:val="0"/>
        </w:rPr>
        <w:t>Предметом обжалуемой закупки является поставка медицинских изделий для диагностических отделений.</w:t>
      </w:r>
    </w:p>
    <w:p>
      <w:pPr>
        <w:pStyle w:val="Style6"/>
        <w:widowControl w:val="0"/>
        <w:keepNext w:val="0"/>
        <w:keepLines w:val="0"/>
        <w:shd w:val="clear" w:color="auto" w:fill="auto"/>
        <w:bidi w:val="0"/>
        <w:jc w:val="both"/>
        <w:spacing w:before="0" w:after="242" w:line="293" w:lineRule="exact"/>
        <w:ind w:left="160" w:right="440" w:firstLine="680"/>
      </w:pPr>
      <w:r>
        <w:rPr>
          <w:lang w:val="ru-RU" w:eastAsia="ru-RU" w:bidi="ru-RU"/>
          <w:sz w:val="24"/>
          <w:szCs w:val="24"/>
          <w:w w:val="100"/>
          <w:spacing w:val="0"/>
          <w:color w:val="000000"/>
          <w:position w:val="0"/>
        </w:rPr>
        <w:t>В разделе 3.Техническое задание документации об аукционе характеристик закупаемых изделий по позициям 1 и 2 представлено описание товара в соответствии с КТРУ и технические характеристики:</w:t>
      </w:r>
    </w:p>
    <w:tbl>
      <w:tblPr>
        <w:tblOverlap w:val="never"/>
        <w:tblLayout w:type="fixed"/>
        <w:jc w:val="center"/>
      </w:tblPr>
      <w:tblGrid>
        <w:gridCol w:w="408"/>
        <w:gridCol w:w="3552"/>
        <w:gridCol w:w="3341"/>
        <w:gridCol w:w="1805"/>
        <w:gridCol w:w="605"/>
        <w:gridCol w:w="677"/>
      </w:tblGrid>
      <w:tr>
        <w:trPr>
          <w:trHeight w:val="437" w:hRule="exact"/>
        </w:trPr>
        <w:tc>
          <w:tcPr>
            <w:shd w:val="clear" w:color="auto" w:fill="FFFFFF"/>
            <w:tcBorders>
              <w:left w:val="single" w:sz="4"/>
              <w:top w:val="single" w:sz="4"/>
            </w:tcBorders>
            <w:vAlign w:val="center"/>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w:t>
            </w:r>
          </w:p>
        </w:tc>
        <w:tc>
          <w:tcPr>
            <w:shd w:val="clear" w:color="auto" w:fill="FFFFFF"/>
            <w:gridSpan w:val="3"/>
            <w:tcBorders>
              <w:left w:val="single" w:sz="4"/>
              <w:top w:val="single" w:sz="4"/>
            </w:tcBorders>
            <w:vAlign w:val="top"/>
          </w:tcPr>
          <w:p>
            <w:pPr>
              <w:pStyle w:val="Style6"/>
              <w:framePr w:w="10387" w:wrap="notBeside" w:vAnchor="text" w:hAnchor="text" w:xAlign="center" w:y="1"/>
              <w:widowControl w:val="0"/>
              <w:keepNext w:val="0"/>
              <w:keepLines w:val="0"/>
              <w:shd w:val="clear" w:color="auto" w:fill="auto"/>
              <w:bidi w:val="0"/>
              <w:spacing w:before="0" w:after="0" w:line="160" w:lineRule="exact"/>
              <w:ind w:left="0" w:right="0" w:firstLine="0"/>
            </w:pPr>
            <w:r>
              <w:rPr>
                <w:rStyle w:val="CharStyle33"/>
              </w:rPr>
              <w:t>Наименование, КТРУ, описание по КТРУ, технические характеристики</w:t>
            </w:r>
          </w:p>
        </w:tc>
        <w:tc>
          <w:tcPr>
            <w:shd w:val="clear" w:color="auto" w:fill="FFFFFF"/>
            <w:tcBorders>
              <w:left w:val="single" w:sz="4"/>
              <w:top w:val="single" w:sz="4"/>
            </w:tcBorders>
            <w:vAlign w:val="bottom"/>
          </w:tcPr>
          <w:p>
            <w:pPr>
              <w:pStyle w:val="Style6"/>
              <w:framePr w:w="10387" w:wrap="notBeside" w:vAnchor="text" w:hAnchor="text" w:xAlign="center" w:y="1"/>
              <w:widowControl w:val="0"/>
              <w:keepNext w:val="0"/>
              <w:keepLines w:val="0"/>
              <w:shd w:val="clear" w:color="auto" w:fill="auto"/>
              <w:bidi w:val="0"/>
              <w:jc w:val="left"/>
              <w:spacing w:before="0" w:after="60" w:line="160" w:lineRule="exact"/>
              <w:ind w:left="120" w:right="0" w:firstLine="0"/>
            </w:pPr>
            <w:r>
              <w:rPr>
                <w:rStyle w:val="CharStyle33"/>
              </w:rPr>
              <w:t>Ед.</w:t>
            </w:r>
          </w:p>
          <w:p>
            <w:pPr>
              <w:pStyle w:val="Style6"/>
              <w:framePr w:w="10387" w:wrap="notBeside" w:vAnchor="text" w:hAnchor="text" w:xAlign="center" w:y="1"/>
              <w:widowControl w:val="0"/>
              <w:keepNext w:val="0"/>
              <w:keepLines w:val="0"/>
              <w:shd w:val="clear" w:color="auto" w:fill="auto"/>
              <w:bidi w:val="0"/>
              <w:jc w:val="left"/>
              <w:spacing w:before="60" w:after="0" w:line="160" w:lineRule="exact"/>
              <w:ind w:left="120" w:right="0" w:firstLine="0"/>
            </w:pPr>
            <w:r>
              <w:rPr>
                <w:rStyle w:val="CharStyle33"/>
              </w:rPr>
              <w:t>Изм.</w:t>
            </w:r>
          </w:p>
        </w:tc>
        <w:tc>
          <w:tcPr>
            <w:shd w:val="clear" w:color="auto" w:fill="FFFFFF"/>
            <w:tcBorders>
              <w:left w:val="single" w:sz="4"/>
              <w:right w:val="single" w:sz="4"/>
              <w:top w:val="single" w:sz="4"/>
            </w:tcBorders>
            <w:vAlign w:val="bottom"/>
          </w:tcPr>
          <w:p>
            <w:pPr>
              <w:pStyle w:val="Style6"/>
              <w:framePr w:w="10387" w:wrap="notBeside" w:vAnchor="text" w:hAnchor="text" w:xAlign="center" w:y="1"/>
              <w:widowControl w:val="0"/>
              <w:keepNext w:val="0"/>
              <w:keepLines w:val="0"/>
              <w:shd w:val="clear" w:color="auto" w:fill="auto"/>
              <w:bidi w:val="0"/>
              <w:spacing w:before="0" w:after="60" w:line="160" w:lineRule="exact"/>
              <w:ind w:left="0" w:right="0" w:firstLine="0"/>
            </w:pPr>
            <w:r>
              <w:rPr>
                <w:rStyle w:val="CharStyle33"/>
              </w:rPr>
              <w:t>Кол-</w:t>
            </w:r>
          </w:p>
          <w:p>
            <w:pPr>
              <w:pStyle w:val="Style6"/>
              <w:framePr w:w="10387" w:wrap="notBeside" w:vAnchor="text" w:hAnchor="text" w:xAlign="center" w:y="1"/>
              <w:widowControl w:val="0"/>
              <w:keepNext w:val="0"/>
              <w:keepLines w:val="0"/>
              <w:shd w:val="clear" w:color="auto" w:fill="auto"/>
              <w:bidi w:val="0"/>
              <w:spacing w:before="60" w:after="0" w:line="160" w:lineRule="exact"/>
              <w:ind w:left="0" w:right="0" w:firstLine="0"/>
            </w:pPr>
            <w:r>
              <w:rPr>
                <w:rStyle w:val="CharStyle33"/>
              </w:rPr>
              <w:t>во</w:t>
            </w:r>
          </w:p>
        </w:tc>
      </w:tr>
      <w:tr>
        <w:trPr>
          <w:trHeight w:val="432" w:hRule="exact"/>
        </w:trPr>
        <w:tc>
          <w:tcPr>
            <w:shd w:val="clear" w:color="auto" w:fill="FFFFFF"/>
            <w:tcBorders>
              <w:left w:val="single" w:sz="4"/>
              <w:top w:val="single" w:sz="4"/>
            </w:tcBorders>
            <w:vAlign w:val="center"/>
          </w:tcPr>
          <w:p>
            <w:pPr>
              <w:pStyle w:val="Style6"/>
              <w:framePr w:w="10387"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34"/>
              </w:rPr>
              <w:t>1</w:t>
            </w:r>
            <w:r>
              <w:rPr>
                <w:rStyle w:val="CharStyle35"/>
              </w:rPr>
              <w:t>.</w:t>
            </w:r>
          </w:p>
        </w:tc>
        <w:tc>
          <w:tcPr>
            <w:shd w:val="clear" w:color="auto" w:fill="FFFFFF"/>
            <w:gridSpan w:val="2"/>
            <w:tcBorders>
              <w:left w:val="single" w:sz="4"/>
              <w:top w:val="single" w:sz="4"/>
            </w:tcBorders>
            <w:vAlign w:val="center"/>
          </w:tcPr>
          <w:p>
            <w:pPr>
              <w:pStyle w:val="Style6"/>
              <w:framePr w:w="10387"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33"/>
              </w:rPr>
              <w:t>Электрод для электрокардиографии, одноразового использования</w:t>
            </w:r>
          </w:p>
        </w:tc>
        <w:tc>
          <w:tcPr>
            <w:shd w:val="clear" w:color="auto" w:fill="FFFFFF"/>
            <w:tcBorders>
              <w:left w:val="single" w:sz="4"/>
              <w:top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6"/>
              <w:framePr w:w="10387" w:wrap="notBeside" w:vAnchor="text" w:hAnchor="text" w:xAlign="center" w:y="1"/>
              <w:widowControl w:val="0"/>
              <w:keepNext w:val="0"/>
              <w:keepLines w:val="0"/>
              <w:shd w:val="clear" w:color="auto" w:fill="auto"/>
              <w:bidi w:val="0"/>
              <w:jc w:val="right"/>
              <w:spacing w:before="0" w:after="0" w:line="160" w:lineRule="exact"/>
              <w:ind w:left="0" w:right="180" w:firstLine="0"/>
            </w:pPr>
            <w:r>
              <w:rPr>
                <w:rStyle w:val="CharStyle33"/>
              </w:rPr>
              <w:t>шт</w:t>
            </w:r>
          </w:p>
        </w:tc>
        <w:tc>
          <w:tcPr>
            <w:shd w:val="clear" w:color="auto" w:fill="FFFFFF"/>
            <w:tcBorders>
              <w:left w:val="single" w:sz="4"/>
              <w:right w:val="single" w:sz="4"/>
              <w:top w:val="single" w:sz="4"/>
            </w:tcBorders>
            <w:vAlign w:val="bottom"/>
          </w:tcPr>
          <w:p>
            <w:pPr>
              <w:pStyle w:val="Style6"/>
              <w:framePr w:w="10387" w:wrap="notBeside" w:vAnchor="text" w:hAnchor="text" w:xAlign="center" w:y="1"/>
              <w:widowControl w:val="0"/>
              <w:keepNext w:val="0"/>
              <w:keepLines w:val="0"/>
              <w:shd w:val="clear" w:color="auto" w:fill="auto"/>
              <w:bidi w:val="0"/>
              <w:spacing w:before="0" w:after="0" w:line="160" w:lineRule="exact"/>
              <w:ind w:left="0" w:right="0" w:firstLine="0"/>
            </w:pPr>
            <w:r>
              <w:rPr>
                <w:rStyle w:val="CharStyle33"/>
              </w:rPr>
              <w:t>100</w:t>
            </w:r>
          </w:p>
          <w:p>
            <w:pPr>
              <w:pStyle w:val="Style6"/>
              <w:framePr w:w="10387" w:wrap="notBeside" w:vAnchor="text" w:hAnchor="text" w:xAlign="center" w:y="1"/>
              <w:widowControl w:val="0"/>
              <w:keepNext w:val="0"/>
              <w:keepLines w:val="0"/>
              <w:shd w:val="clear" w:color="auto" w:fill="auto"/>
              <w:bidi w:val="0"/>
              <w:spacing w:before="0" w:after="0" w:line="160" w:lineRule="exact"/>
              <w:ind w:left="0" w:right="0" w:firstLine="0"/>
            </w:pPr>
            <w:r>
              <w:rPr>
                <w:rStyle w:val="CharStyle33"/>
              </w:rPr>
              <w:t>000</w:t>
            </w:r>
          </w:p>
        </w:tc>
      </w:tr>
      <w:tr>
        <w:trPr>
          <w:trHeight w:val="1666" w:hRule="exact"/>
        </w:trPr>
        <w:tc>
          <w:tcPr>
            <w:shd w:val="clear" w:color="auto" w:fill="FFFFFF"/>
            <w:tcBorders>
              <w:left w:val="single" w:sz="4"/>
              <w:top w:val="single" w:sz="4"/>
            </w:tcBorders>
            <w:vAlign w:val="center"/>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1.1.</w:t>
            </w:r>
          </w:p>
        </w:tc>
        <w:tc>
          <w:tcPr>
            <w:shd w:val="clear" w:color="auto" w:fill="FFFFFF"/>
            <w:gridSpan w:val="3"/>
            <w:tcBorders>
              <w:left w:val="single" w:sz="4"/>
              <w:top w:val="single" w:sz="4"/>
            </w:tcBorders>
            <w:vAlign w:val="bottom"/>
          </w:tcPr>
          <w:p>
            <w:pPr>
              <w:pStyle w:val="Style6"/>
              <w:framePr w:w="10387"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2"/>
              </w:rPr>
              <w:t>№ КТРУ с описанием 26.60.12.140-00000013 Нестерильный неинвазивный электрический проводник, разработанный для передачи биоэлектрических сигналов сердца с кожи на поверхности грудной клетки на контролирующее устройство электрокардиографа, через ЭКГ отведение (не относится к данному виду). Обычно это похожий на диск электрод, который фиксируется на коже специальным адгезивным средством, пластырем или за счет механизма всасывания; предварительно может быть нанесен проводящий гель, и может прилагаться салфетка для очищения кожи для обеспечения электрического соединения. Электрокардиография обычно проводится при использовании комплекта электродов (например, 10 штук), присоединенных к соответствующим отведениям и кабелям. Это изделие для одноразового использования.</w:t>
            </w:r>
          </w:p>
        </w:tc>
        <w:tc>
          <w:tcPr>
            <w:shd w:val="clear" w:color="auto" w:fill="FFFFFF"/>
            <w:tcBorders>
              <w:left w:val="single" w:sz="4"/>
              <w:top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87" w:wrap="notBeside" w:vAnchor="text" w:hAnchor="text" w:xAlign="center" w:y="1"/>
              <w:widowControl w:val="0"/>
              <w:rPr>
                <w:sz w:val="10"/>
                <w:szCs w:val="10"/>
              </w:rPr>
            </w:pPr>
          </w:p>
        </w:tc>
      </w:tr>
      <w:tr>
        <w:trPr>
          <w:trHeight w:val="418" w:hRule="exact"/>
        </w:trPr>
        <w:tc>
          <w:tcPr>
            <w:shd w:val="clear" w:color="auto" w:fill="FFFFFF"/>
            <w:tcBorders>
              <w:left w:val="single" w:sz="4"/>
              <w:top w:val="single" w:sz="4"/>
            </w:tcBorders>
            <w:vAlign w:val="center"/>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1.2.</w:t>
            </w:r>
          </w:p>
        </w:tc>
        <w:tc>
          <w:tcPr>
            <w:shd w:val="clear" w:color="auto" w:fill="FFFFFF"/>
            <w:tcBorders>
              <w:left w:val="single" w:sz="4"/>
              <w:top w:val="single" w:sz="4"/>
            </w:tcBorders>
            <w:vAlign w:val="center"/>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Размеры, мм</w:t>
            </w:r>
          </w:p>
        </w:tc>
        <w:tc>
          <w:tcPr>
            <w:shd w:val="clear" w:color="auto" w:fill="FFFFFF"/>
            <w:tcBorders>
              <w:top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6"/>
              <w:framePr w:w="10387"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2"/>
              </w:rPr>
              <w:t xml:space="preserve">Не менее </w:t>
            </w:r>
            <w:r>
              <w:rPr>
                <w:rStyle w:val="CharStyle32"/>
                <w:lang w:val="en-US" w:eastAsia="en-US" w:bidi="en-US"/>
              </w:rPr>
              <w:t xml:space="preserve">39x35 </w:t>
            </w:r>
            <w:r>
              <w:rPr>
                <w:rStyle w:val="CharStyle32"/>
              </w:rPr>
              <w:t xml:space="preserve">не более </w:t>
            </w:r>
            <w:r>
              <w:rPr>
                <w:rStyle w:val="CharStyle32"/>
                <w:lang w:val="en-US" w:eastAsia="en-US" w:bidi="en-US"/>
              </w:rPr>
              <w:t>41x37</w:t>
            </w:r>
          </w:p>
        </w:tc>
        <w:tc>
          <w:tcPr>
            <w:shd w:val="clear" w:color="auto" w:fill="FFFFFF"/>
            <w:tcBorders>
              <w:left w:val="single" w:sz="4"/>
              <w:top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87" w:wrap="notBeside" w:vAnchor="text" w:hAnchor="text" w:xAlign="center" w:y="1"/>
              <w:widowControl w:val="0"/>
              <w:rPr>
                <w:sz w:val="10"/>
                <w:szCs w:val="10"/>
              </w:rPr>
            </w:pPr>
          </w:p>
        </w:tc>
      </w:tr>
      <w:tr>
        <w:trPr>
          <w:trHeight w:val="418" w:hRule="exact"/>
        </w:trPr>
        <w:tc>
          <w:tcPr>
            <w:shd w:val="clear" w:color="auto" w:fill="FFFFFF"/>
            <w:tcBorders>
              <w:left w:val="single" w:sz="4"/>
              <w:top w:val="single" w:sz="4"/>
            </w:tcBorders>
            <w:vAlign w:val="center"/>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1.3.</w:t>
            </w:r>
          </w:p>
        </w:tc>
        <w:tc>
          <w:tcPr>
            <w:shd w:val="clear" w:color="auto" w:fill="FFFFFF"/>
            <w:tcBorders>
              <w:left w:val="single" w:sz="4"/>
              <w:top w:val="single" w:sz="4"/>
            </w:tcBorders>
            <w:vAlign w:val="center"/>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Основа</w:t>
            </w:r>
          </w:p>
        </w:tc>
        <w:tc>
          <w:tcPr>
            <w:shd w:val="clear" w:color="auto" w:fill="FFFFFF"/>
            <w:tcBorders>
              <w:top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6"/>
              <w:framePr w:w="10387" w:wrap="notBeside" w:vAnchor="text" w:hAnchor="text" w:xAlign="center" w:y="1"/>
              <w:widowControl w:val="0"/>
              <w:keepNext w:val="0"/>
              <w:keepLines w:val="0"/>
              <w:shd w:val="clear" w:color="auto" w:fill="auto"/>
              <w:bidi w:val="0"/>
              <w:jc w:val="left"/>
              <w:spacing w:before="0" w:after="60" w:line="170" w:lineRule="exact"/>
              <w:ind w:left="120" w:right="0" w:firstLine="0"/>
            </w:pPr>
            <w:r>
              <w:rPr>
                <w:rStyle w:val="CharStyle32"/>
              </w:rPr>
              <w:t>Полиуретановая</w:t>
            </w:r>
          </w:p>
          <w:p>
            <w:pPr>
              <w:pStyle w:val="Style6"/>
              <w:framePr w:w="10387" w:wrap="notBeside" w:vAnchor="text" w:hAnchor="text" w:xAlign="center" w:y="1"/>
              <w:widowControl w:val="0"/>
              <w:keepNext w:val="0"/>
              <w:keepLines w:val="0"/>
              <w:shd w:val="clear" w:color="auto" w:fill="auto"/>
              <w:bidi w:val="0"/>
              <w:jc w:val="left"/>
              <w:spacing w:before="60" w:after="0" w:line="170" w:lineRule="exact"/>
              <w:ind w:left="120" w:right="0" w:firstLine="0"/>
            </w:pPr>
            <w:r>
              <w:rPr>
                <w:rStyle w:val="CharStyle32"/>
              </w:rPr>
              <w:t>пена</w:t>
            </w:r>
          </w:p>
        </w:tc>
        <w:tc>
          <w:tcPr>
            <w:shd w:val="clear" w:color="auto" w:fill="FFFFFF"/>
            <w:tcBorders>
              <w:left w:val="single" w:sz="4"/>
              <w:top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87" w:wrap="notBeside" w:vAnchor="text" w:hAnchor="text" w:xAlign="center" w:y="1"/>
              <w:widowControl w:val="0"/>
              <w:rPr>
                <w:sz w:val="10"/>
                <w:szCs w:val="10"/>
              </w:rPr>
            </w:pPr>
          </w:p>
        </w:tc>
      </w:tr>
      <w:tr>
        <w:trPr>
          <w:trHeight w:val="221" w:hRule="exact"/>
        </w:trPr>
        <w:tc>
          <w:tcPr>
            <w:shd w:val="clear" w:color="auto" w:fill="FFFFFF"/>
            <w:tcBorders>
              <w:left w:val="single" w:sz="4"/>
              <w:top w:val="single" w:sz="4"/>
            </w:tcBorders>
            <w:vAlign w:val="bottom"/>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1.4.</w:t>
            </w:r>
          </w:p>
        </w:tc>
        <w:tc>
          <w:tcPr>
            <w:shd w:val="clear" w:color="auto" w:fill="FFFFFF"/>
            <w:tcBorders>
              <w:left w:val="single" w:sz="4"/>
              <w:top w:val="single" w:sz="4"/>
            </w:tcBorders>
            <w:vAlign w:val="bottom"/>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Толщина, мм</w:t>
            </w:r>
          </w:p>
        </w:tc>
        <w:tc>
          <w:tcPr>
            <w:shd w:val="clear" w:color="auto" w:fill="FFFFFF"/>
            <w:tcBorders>
              <w:top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менее 1,0</w:t>
            </w:r>
          </w:p>
        </w:tc>
        <w:tc>
          <w:tcPr>
            <w:shd w:val="clear" w:color="auto" w:fill="FFFFFF"/>
            <w:tcBorders>
              <w:left w:val="single" w:sz="4"/>
              <w:top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87" w:wrap="notBeside" w:vAnchor="text" w:hAnchor="text" w:xAlign="center" w:y="1"/>
              <w:widowControl w:val="0"/>
              <w:rPr>
                <w:sz w:val="10"/>
                <w:szCs w:val="10"/>
              </w:rPr>
            </w:pPr>
          </w:p>
        </w:tc>
      </w:tr>
      <w:tr>
        <w:trPr>
          <w:trHeight w:val="254" w:hRule="exact"/>
        </w:trPr>
        <w:tc>
          <w:tcPr>
            <w:shd w:val="clear" w:color="auto" w:fill="FFFFFF"/>
            <w:tcBorders>
              <w:left w:val="single" w:sz="4"/>
              <w:top w:val="single" w:sz="4"/>
              <w:bottom w:val="single" w:sz="4"/>
            </w:tcBorders>
            <w:vAlign w:val="top"/>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1.5.</w:t>
            </w:r>
          </w:p>
        </w:tc>
        <w:tc>
          <w:tcPr>
            <w:shd w:val="clear" w:color="auto" w:fill="FFFFFF"/>
            <w:tcBorders>
              <w:left w:val="single" w:sz="4"/>
              <w:top w:val="single" w:sz="4"/>
              <w:bottom w:val="single" w:sz="4"/>
            </w:tcBorders>
            <w:vAlign w:val="top"/>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Содержит твердый гель</w:t>
            </w:r>
          </w:p>
        </w:tc>
        <w:tc>
          <w:tcPr>
            <w:shd w:val="clear" w:color="auto" w:fill="FFFFFF"/>
            <w:tcBorders>
              <w:top w:val="single" w:sz="4"/>
              <w:bottom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6"/>
              <w:framePr w:w="10387"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bottom w:val="single" w:sz="4"/>
            </w:tcBorders>
            <w:vAlign w:val="top"/>
          </w:tcPr>
          <w:p>
            <w:pPr>
              <w:framePr w:w="10387"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87"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442"/>
        <w:gridCol w:w="4949"/>
        <w:gridCol w:w="1939"/>
        <w:gridCol w:w="1810"/>
        <w:gridCol w:w="595"/>
        <w:gridCol w:w="634"/>
      </w:tblGrid>
      <w:tr>
        <w:trPr>
          <w:trHeight w:val="22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Площадь твердого геля, мм</w:t>
            </w:r>
            <w:r>
              <w:rPr>
                <w:rStyle w:val="CharStyle32"/>
                <w:vertAlign w:val="superscript"/>
              </w:rPr>
              <w:t>2</w:t>
            </w:r>
            <w:r>
              <w:rPr>
                <w:rStyle w:val="CharStyle32"/>
              </w:rPr>
              <w:t>.</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менее 348</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21"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Импеданс (сопротивление), Ом</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150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21"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Обеспечивает прочную адгезию</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Обладает высокой проводящей способностью</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 xml:space="preserve">Контактная поверхность (сенсор) из угленаполненного </w:t>
            </w:r>
            <w:r>
              <w:rPr>
                <w:rStyle w:val="CharStyle32"/>
                <w:lang w:val="en-US" w:eastAsia="en-US" w:bidi="en-US"/>
              </w:rPr>
              <w:t>ABS</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 xml:space="preserve">Контактная поверхность покрыта </w:t>
            </w:r>
            <w:r>
              <w:rPr>
                <w:rStyle w:val="CharStyle32"/>
                <w:lang w:val="en-US" w:eastAsia="en-US" w:bidi="en-US"/>
              </w:rPr>
              <w:t xml:space="preserve">Ag/AgCI </w:t>
            </w:r>
            <w:r>
              <w:rPr>
                <w:rStyle w:val="CharStyle32"/>
              </w:rPr>
              <w:t>(серебро/хлорид серебра).</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 xml:space="preserve">Компенсирующее напряжение смещения постоянного тока </w:t>
            </w:r>
            <w:r>
              <w:rPr>
                <w:rStyle w:val="CharStyle32"/>
                <w:lang w:val="en-US" w:eastAsia="en-US" w:bidi="en-US"/>
              </w:rPr>
              <w:t xml:space="preserve">(DCO), </w:t>
            </w:r>
            <w:r>
              <w:rPr>
                <w:rStyle w:val="CharStyle32"/>
              </w:rPr>
              <w:t>мВ</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1</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1"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Восстановление после перегрузки при дефибриляции, мВ</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15</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Скорость изменения поляризационного потенциала, мВ/с</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0,3</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1"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Смещение напряжения постоянного тока, мВ</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15</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21"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Сочетание нестабильности напряжения и собственного шума, мкВ</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90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Соединение кнопочного типа</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21"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Кнопка графитовая</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1"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Электрод рентгенопрозрачный</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Время фиксации электрода нателе пациента, часов</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72</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21"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В упаковке, штук</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менее 50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1"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60" w:lineRule="exact"/>
              <w:ind w:left="140" w:right="0" w:firstLine="0"/>
            </w:pPr>
            <w:r>
              <w:rPr>
                <w:rStyle w:val="CharStyle33"/>
              </w:rPr>
              <w:t>2.</w:t>
            </w: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60" w:lineRule="exact"/>
              <w:ind w:left="140" w:right="0" w:firstLine="0"/>
            </w:pPr>
            <w:r>
              <w:rPr>
                <w:rStyle w:val="CharStyle33"/>
              </w:rPr>
              <w:t>Электрод для электрокардиографии, одноразового использования</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right"/>
              <w:spacing w:before="0" w:after="0" w:line="160" w:lineRule="exact"/>
              <w:ind w:left="0" w:right="160" w:firstLine="0"/>
            </w:pPr>
            <w:r>
              <w:rPr>
                <w:rStyle w:val="CharStyle33"/>
              </w:rPr>
              <w:t>шт</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33"/>
              </w:rPr>
              <w:t>35000</w:t>
            </w:r>
          </w:p>
        </w:tc>
      </w:tr>
      <w:tr>
        <w:trPr>
          <w:trHeight w:val="1670" w:hRule="exact"/>
        </w:trPr>
        <w:tc>
          <w:tcPr>
            <w:shd w:val="clear" w:color="auto" w:fill="FFFFFF"/>
            <w:tcBorders>
              <w:left w:val="single" w:sz="4"/>
              <w:top w:val="single" w:sz="4"/>
            </w:tcBorders>
            <w:vAlign w:val="center"/>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2.1.</w:t>
            </w:r>
          </w:p>
        </w:tc>
        <w:tc>
          <w:tcPr>
            <w:shd w:val="clear" w:color="auto" w:fill="FFFFFF"/>
            <w:gridSpan w:val="3"/>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202" w:lineRule="exact"/>
              <w:ind w:left="120" w:right="0" w:firstLine="0"/>
            </w:pPr>
            <w:r>
              <w:rPr>
                <w:rStyle w:val="CharStyle32"/>
              </w:rPr>
              <w:t>№&gt; КТРУ с описанием 26.60.12.140-00000013 Нестерильный неинвазивный электрический проводник, разработанный для передачи биоэлектрических сигналов сердца с кожи на поверхности грудной клетки на контролирующее устройство электрокардиографа, через ЭКГ отведение (не относится к данному виду). Обычно это похожий на диск электрод, который фиксируется на коже специальным адгезивным средством, пластырем или за счет механизма всасывания; предварительно может быть нанесен проводящий гель, и может прилагаться салфетка для очищения кожи для обеспечения электрического соединения. Электрокардиография обычно проводится при использовании комплекта электродов (например, 10 штук), присоединенных к соответствующим отведениям и кабелям. Это изделие для одноразового использования.</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422" w:hRule="exact"/>
        </w:trPr>
        <w:tc>
          <w:tcPr>
            <w:shd w:val="clear" w:color="auto" w:fill="FFFFFF"/>
            <w:tcBorders>
              <w:left w:val="single" w:sz="4"/>
              <w:top w:val="single" w:sz="4"/>
            </w:tcBorders>
            <w:vAlign w:val="center"/>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2.2.</w:t>
            </w:r>
          </w:p>
        </w:tc>
        <w:tc>
          <w:tcPr>
            <w:shd w:val="clear" w:color="auto" w:fill="FFFFFF"/>
            <w:tcBorders>
              <w:left w:val="single" w:sz="4"/>
              <w:top w:val="single" w:sz="4"/>
            </w:tcBorders>
            <w:vAlign w:val="center"/>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Размеры, мм</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202" w:lineRule="exact"/>
              <w:ind w:left="120" w:right="0" w:firstLine="0"/>
            </w:pPr>
            <w:r>
              <w:rPr>
                <w:rStyle w:val="CharStyle32"/>
              </w:rPr>
              <w:t xml:space="preserve">Не менее </w:t>
            </w:r>
            <w:r>
              <w:rPr>
                <w:rStyle w:val="CharStyle32"/>
                <w:lang w:val="en-US" w:eastAsia="en-US" w:bidi="en-US"/>
              </w:rPr>
              <w:t xml:space="preserve">56x37 </w:t>
            </w:r>
            <w:r>
              <w:rPr>
                <w:rStyle w:val="CharStyle32"/>
              </w:rPr>
              <w:t xml:space="preserve">не более </w:t>
            </w:r>
            <w:r>
              <w:rPr>
                <w:rStyle w:val="CharStyle32"/>
                <w:lang w:val="en-US" w:eastAsia="en-US" w:bidi="en-US"/>
              </w:rPr>
              <w:t>58x39</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418" w:hRule="exact"/>
        </w:trPr>
        <w:tc>
          <w:tcPr>
            <w:shd w:val="clear" w:color="auto" w:fill="FFFFFF"/>
            <w:tcBorders>
              <w:left w:val="single" w:sz="4"/>
              <w:top w:val="single" w:sz="4"/>
            </w:tcBorders>
            <w:vAlign w:val="center"/>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2.3.</w:t>
            </w:r>
          </w:p>
        </w:tc>
        <w:tc>
          <w:tcPr>
            <w:shd w:val="clear" w:color="auto" w:fill="FFFFFF"/>
            <w:tcBorders>
              <w:left w:val="single" w:sz="4"/>
              <w:top w:val="single" w:sz="4"/>
            </w:tcBorders>
            <w:vAlign w:val="center"/>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Основа</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60" w:line="170" w:lineRule="exact"/>
              <w:ind w:left="120" w:right="0" w:firstLine="0"/>
            </w:pPr>
            <w:r>
              <w:rPr>
                <w:rStyle w:val="CharStyle32"/>
              </w:rPr>
              <w:t>Полиуретановая</w:t>
            </w:r>
          </w:p>
          <w:p>
            <w:pPr>
              <w:pStyle w:val="Style6"/>
              <w:framePr w:w="10368" w:wrap="notBeside" w:vAnchor="text" w:hAnchor="text" w:xAlign="center" w:y="1"/>
              <w:widowControl w:val="0"/>
              <w:keepNext w:val="0"/>
              <w:keepLines w:val="0"/>
              <w:shd w:val="clear" w:color="auto" w:fill="auto"/>
              <w:bidi w:val="0"/>
              <w:jc w:val="left"/>
              <w:spacing w:before="60" w:after="0" w:line="170" w:lineRule="exact"/>
              <w:ind w:left="120" w:right="0" w:firstLine="0"/>
            </w:pPr>
            <w:r>
              <w:rPr>
                <w:rStyle w:val="CharStyle32"/>
              </w:rPr>
              <w:t>пена</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2.4.</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Толщина, мм</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менее 1,0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422" w:hRule="exact"/>
        </w:trPr>
        <w:tc>
          <w:tcPr>
            <w:shd w:val="clear" w:color="auto" w:fill="FFFFFF"/>
            <w:tcBorders>
              <w:left w:val="single" w:sz="4"/>
              <w:top w:val="single" w:sz="4"/>
            </w:tcBorders>
            <w:vAlign w:val="center"/>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2.5.</w:t>
            </w: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2"/>
              </w:rPr>
              <w:t>Электрод должен иметь прямоугольную форму и специальную дополнительную прорезь</w:t>
            </w:r>
          </w:p>
        </w:tc>
        <w:tc>
          <w:tcPr>
            <w:shd w:val="clear" w:color="auto" w:fill="FFFFFF"/>
            <w:tcBorders>
              <w:left w:val="single" w:sz="4"/>
              <w:top w:val="single" w:sz="4"/>
            </w:tcBorders>
            <w:vAlign w:val="center"/>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2.6.</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32"/>
              </w:rPr>
              <w:t>Содержит жидкий гель</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21"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2.7.</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32"/>
              </w:rPr>
              <w:t>Площадь жидкого геля, мм</w:t>
            </w:r>
            <w:r>
              <w:rPr>
                <w:rStyle w:val="CharStyle32"/>
                <w:vertAlign w:val="superscript"/>
              </w:rPr>
              <w:t>2</w:t>
            </w:r>
            <w:r>
              <w:rPr>
                <w:rStyle w:val="CharStyle32"/>
              </w:rPr>
              <w:t>.</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менее 348</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2.8.</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32"/>
              </w:rPr>
              <w:t>Импеданс (сопротивление), Ом</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150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1"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2.9.</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32"/>
              </w:rPr>
              <w:t>Обеспечивает прочную адгезию</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2.К</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32"/>
              </w:rPr>
              <w:t>Обладает высокой проводящей способностью</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422" w:hRule="exact"/>
        </w:trPr>
        <w:tc>
          <w:tcPr>
            <w:shd w:val="clear" w:color="auto" w:fill="FFFFFF"/>
            <w:tcBorders>
              <w:left w:val="single" w:sz="4"/>
              <w:top w:val="single" w:sz="4"/>
            </w:tcBorders>
            <w:vAlign w:val="center"/>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2.11</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32"/>
              </w:rPr>
              <w:t xml:space="preserve">Контактная поверхность (сенсор) из стеклонаполненного </w:t>
            </w:r>
            <w:r>
              <w:rPr>
                <w:rStyle w:val="CharStyle32"/>
                <w:lang w:val="en-US" w:eastAsia="en-US" w:bidi="en-US"/>
              </w:rPr>
              <w:t xml:space="preserve">ABS </w:t>
            </w:r>
            <w:r>
              <w:rPr>
                <w:rStyle w:val="CharStyle32"/>
              </w:rPr>
              <w:t>(акрилонитрилбутадиенстирола)</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6"/>
              </w:rPr>
              <w:t>2.1;</w:t>
            </w: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 xml:space="preserve">Контактная поверхность покрыта </w:t>
            </w:r>
            <w:r>
              <w:rPr>
                <w:rStyle w:val="CharStyle32"/>
                <w:lang w:val="en-US" w:eastAsia="en-US" w:bidi="en-US"/>
              </w:rPr>
              <w:t xml:space="preserve">Ag/AgCI </w:t>
            </w:r>
            <w:r>
              <w:rPr>
                <w:rStyle w:val="CharStyle32"/>
              </w:rPr>
              <w:t>(серебро/хлорид серебра).</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6"/>
              </w:rPr>
              <w:t>2.1:</w:t>
            </w:r>
          </w:p>
        </w:tc>
        <w:tc>
          <w:tcPr>
            <w:shd w:val="clear" w:color="auto" w:fill="FFFFFF"/>
            <w:gridSpan w:val="2"/>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 xml:space="preserve">Компенсирующее напряжение смещения постоянного тока </w:t>
            </w:r>
            <w:r>
              <w:rPr>
                <w:rStyle w:val="CharStyle32"/>
                <w:lang w:val="en-US" w:eastAsia="en-US" w:bidi="en-US"/>
              </w:rPr>
              <w:t xml:space="preserve">(DCO), </w:t>
            </w:r>
            <w:r>
              <w:rPr>
                <w:rStyle w:val="CharStyle32"/>
              </w:rPr>
              <w:t>мВ</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1</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6"/>
              </w:rPr>
              <w:t>2.</w:t>
            </w:r>
            <w:r>
              <w:rPr>
                <w:rStyle w:val="CharStyle36"/>
                <w:lang w:val="en-US" w:eastAsia="en-US" w:bidi="en-US"/>
              </w:rPr>
              <w:t>U</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Восстановление после перегрузки при дефибриляции, мВ</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15</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1"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6"/>
              </w:rPr>
              <w:t>2.11</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Скорость изменения поляризационного потенциала, мВ/с</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0,3</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2.К</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Смещение напряжения постоянного тока, мВ</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15</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2.Г</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Сочетание нестабильности напряжения и собственного шума,</w:t>
            </w:r>
          </w:p>
        </w:tc>
        <w:tc>
          <w:tcPr>
            <w:shd w:val="clear" w:color="auto" w:fill="FFFFFF"/>
            <w:tcBorders>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32"/>
              </w:rPr>
              <w:t>мкВ</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90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2.И</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Соединение кнопочного типа</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6"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6"/>
                <w:lang w:val="en-US" w:eastAsia="en-US" w:bidi="en-US"/>
              </w:rPr>
              <w:t>2.U</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Кнопка из нержавеющей стали</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Соответствие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11" w:hRule="exact"/>
        </w:trPr>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2.2(</w:t>
            </w: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Время фиксации электрода нателе пациента, часов</w:t>
            </w:r>
          </w:p>
        </w:tc>
        <w:tc>
          <w:tcPr>
            <w:shd w:val="clear" w:color="auto" w:fill="FFFFFF"/>
            <w:tcBorders>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более 72</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r>
      <w:tr>
        <w:trPr>
          <w:trHeight w:val="230" w:hRule="exact"/>
        </w:trPr>
        <w:tc>
          <w:tcPr>
            <w:shd w:val="clear" w:color="auto" w:fill="FFFFFF"/>
            <w:tcBorders>
              <w:left w:val="single" w:sz="4"/>
              <w:top w:val="single" w:sz="4"/>
              <w:bottom w:val="single" w:sz="4"/>
            </w:tcBorders>
            <w:vAlign w:val="bottom"/>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32"/>
              </w:rPr>
              <w:t>2.21</w:t>
            </w:r>
          </w:p>
        </w:tc>
        <w:tc>
          <w:tcPr>
            <w:shd w:val="clear" w:color="auto" w:fill="FFFFFF"/>
            <w:tcBorders>
              <w:left w:val="single" w:sz="4"/>
              <w:top w:val="single" w:sz="4"/>
              <w:bottom w:val="single" w:sz="4"/>
            </w:tcBorders>
            <w:vAlign w:val="top"/>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2"/>
              </w:rPr>
              <w:t>В упаковке, штук</w:t>
            </w:r>
          </w:p>
        </w:tc>
        <w:tc>
          <w:tcPr>
            <w:shd w:val="clear" w:color="auto" w:fill="FFFFFF"/>
            <w:tcBorders>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6"/>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2"/>
              </w:rPr>
              <w:t>Не менее 50</w:t>
            </w: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r>
    </w:tbl>
    <w:p>
      <w:pPr>
        <w:widowControl w:val="0"/>
        <w:rPr>
          <w:sz w:val="2"/>
          <w:szCs w:val="2"/>
        </w:rPr>
      </w:pPr>
    </w:p>
    <w:p>
      <w:pPr>
        <w:pStyle w:val="Style6"/>
        <w:widowControl w:val="0"/>
        <w:keepNext w:val="0"/>
        <w:keepLines w:val="0"/>
        <w:shd w:val="clear" w:color="auto" w:fill="auto"/>
        <w:bidi w:val="0"/>
        <w:jc w:val="both"/>
        <w:spacing w:before="248" w:after="0" w:line="293" w:lineRule="exact"/>
        <w:ind w:left="120" w:right="460" w:firstLine="880"/>
      </w:pPr>
      <w:r>
        <w:rPr>
          <w:lang w:val="ru-RU" w:eastAsia="ru-RU" w:bidi="ru-RU"/>
          <w:sz w:val="24"/>
          <w:szCs w:val="24"/>
          <w:w w:val="100"/>
          <w:spacing w:val="0"/>
          <w:color w:val="000000"/>
          <w:position w:val="0"/>
        </w:rPr>
        <w:t xml:space="preserve">Комиссией были изучены технические характеристики аналогичных производителей электродов: </w:t>
      </w:r>
      <w:r>
        <w:rPr>
          <w:lang w:val="en-US" w:eastAsia="en-US" w:bidi="en-US"/>
          <w:sz w:val="24"/>
          <w:szCs w:val="24"/>
          <w:w w:val="100"/>
          <w:spacing w:val="0"/>
          <w:color w:val="000000"/>
          <w:position w:val="0"/>
        </w:rPr>
        <w:t xml:space="preserve">Medico Electrodes International Limited </w:t>
      </w:r>
      <w:r>
        <w:rPr>
          <w:lang w:val="ru-RU" w:eastAsia="ru-RU" w:bidi="ru-RU"/>
          <w:sz w:val="24"/>
          <w:szCs w:val="24"/>
          <w:w w:val="100"/>
          <w:spacing w:val="0"/>
          <w:color w:val="000000"/>
          <w:position w:val="0"/>
        </w:rPr>
        <w:t xml:space="preserve">(Индия), </w:t>
      </w:r>
      <w:r>
        <w:rPr>
          <w:lang w:val="en-US" w:eastAsia="en-US" w:bidi="en-US"/>
          <w:sz w:val="24"/>
          <w:szCs w:val="24"/>
          <w:w w:val="100"/>
          <w:spacing w:val="0"/>
          <w:color w:val="000000"/>
          <w:position w:val="0"/>
        </w:rPr>
        <w:t xml:space="preserve">FES- HSRM—01 </w:t>
      </w:r>
      <w:r>
        <w:rPr>
          <w:lang w:val="ru-RU" w:eastAsia="ru-RU" w:bidi="ru-RU"/>
          <w:sz w:val="24"/>
          <w:szCs w:val="24"/>
          <w:w w:val="100"/>
          <w:spacing w:val="0"/>
          <w:color w:val="000000"/>
          <w:position w:val="0"/>
        </w:rPr>
        <w:t xml:space="preserve">(Польша), </w:t>
      </w:r>
      <w:r>
        <w:rPr>
          <w:lang w:val="en-US" w:eastAsia="en-US" w:bidi="en-US"/>
          <w:sz w:val="24"/>
          <w:szCs w:val="24"/>
          <w:w w:val="100"/>
          <w:spacing w:val="0"/>
          <w:color w:val="000000"/>
          <w:position w:val="0"/>
        </w:rPr>
        <w:t xml:space="preserve">CARDINAL HEALTH ALARIS </w:t>
      </w:r>
      <w:r>
        <w:rPr>
          <w:lang w:val="ru-RU" w:eastAsia="ru-RU" w:bidi="ru-RU"/>
          <w:sz w:val="24"/>
          <w:szCs w:val="24"/>
          <w:w w:val="100"/>
          <w:spacing w:val="0"/>
          <w:color w:val="000000"/>
          <w:position w:val="0"/>
        </w:rPr>
        <w:t>(США), которые были представлены Заявителем на предмет соответствия технических характеристик Заказчика с к указанными выше производителями аналогичных электродов.</w:t>
      </w:r>
    </w:p>
    <w:p>
      <w:pPr>
        <w:pStyle w:val="Style6"/>
        <w:widowControl w:val="0"/>
        <w:keepNext w:val="0"/>
        <w:keepLines w:val="0"/>
        <w:shd w:val="clear" w:color="auto" w:fill="auto"/>
        <w:bidi w:val="0"/>
        <w:jc w:val="both"/>
        <w:spacing w:before="0" w:after="0" w:line="293" w:lineRule="exact"/>
        <w:ind w:left="120" w:right="460" w:firstLine="580"/>
      </w:pPr>
      <w:r>
        <w:rPr>
          <w:lang w:val="ru-RU" w:eastAsia="ru-RU" w:bidi="ru-RU"/>
          <w:sz w:val="24"/>
          <w:szCs w:val="24"/>
          <w:w w:val="100"/>
          <w:spacing w:val="0"/>
          <w:color w:val="000000"/>
          <w:position w:val="0"/>
        </w:rPr>
        <w:t xml:space="preserve">Представитель Заказчика на заседании Комиссии Карельского УФАС России указал, что ЕБУЗ РК «Республиканская больница им.В.А.Баранова» </w:t>
      </w:r>
      <w:r>
        <w:rPr>
          <w:rStyle w:val="CharStyle30"/>
        </w:rPr>
        <w:t>не включало</w:t>
      </w:r>
      <w:r>
        <w:rPr>
          <w:lang w:val="ru-RU" w:eastAsia="ru-RU" w:bidi="ru-RU"/>
          <w:sz w:val="24"/>
          <w:szCs w:val="24"/>
          <w:w w:val="100"/>
          <w:spacing w:val="0"/>
          <w:color w:val="000000"/>
          <w:position w:val="0"/>
        </w:rPr>
        <w:t xml:space="preserve"> в документацию об аукционе требования и указания в отношении товарных знаков, знаков обслуживания, фирменных наименований, патентов, полезных моделей, промышленных образцов, </w:t>
      </w:r>
      <w:r>
        <w:rPr>
          <w:rStyle w:val="CharStyle30"/>
        </w:rPr>
        <w:t>наименование страны происхождения</w:t>
      </w:r>
      <w:r>
        <w:rPr>
          <w:lang w:val="ru-RU" w:eastAsia="ru-RU" w:bidi="ru-RU"/>
          <w:sz w:val="24"/>
          <w:szCs w:val="24"/>
          <w:w w:val="100"/>
          <w:spacing w:val="0"/>
          <w:color w:val="000000"/>
          <w:position w:val="0"/>
        </w:rPr>
        <w:t xml:space="preserve">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При этом, в материалах дела отсутствуют надлежащие доказательства, что описание указанных товарных позиций противоречит требованиям статьи 33 Закона о контрактной системе.</w:t>
      </w:r>
    </w:p>
    <w:p>
      <w:pPr>
        <w:pStyle w:val="Style6"/>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Комиссия УФАС отмечает, что частью 9 статьи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 Следовательно, обязанность доказывания ограничения количества участников по техническим характеристикам, при рассмотрении жалобы в контрольном органе в сфере закупок Законом о контрактной системе, в основном в силу специфики обжалуемой тематики, в данном случае это технические характеристики Электрода для электрокардиографии, возлагается на лицо, подавшее жалобу на соответствующие действия Заказчика в порядке Главы 6 Закона о контрактной системе. Вместе с этим, ООО «Медицинские расходные материалы» участие своих представителей на заседании Комиссии в режиме видеоконференцсвязи по рассмотрению жалобы не обеспечило; объективных доказательств того, что сформулированные Заказчиком условия документации об электронном аукционе и данные им разъяснения рассматриваемой документации об электронном аукционе создают непреодолимое препятствие подателю жалобы для участия в данной закупке, не предоставило.</w:t>
      </w:r>
    </w:p>
    <w:p>
      <w:pPr>
        <w:pStyle w:val="Style6"/>
        <w:widowControl w:val="0"/>
        <w:keepNext w:val="0"/>
        <w:keepLines w:val="0"/>
        <w:shd w:val="clear" w:color="auto" w:fill="auto"/>
        <w:bidi w:val="0"/>
        <w:jc w:val="both"/>
        <w:spacing w:before="0" w:after="582" w:line="293" w:lineRule="exact"/>
        <w:ind w:left="20" w:right="20" w:firstLine="560"/>
      </w:pPr>
      <w:r>
        <w:rPr>
          <w:lang w:val="ru-RU" w:eastAsia="ru-RU" w:bidi="ru-RU"/>
          <w:sz w:val="24"/>
          <w:szCs w:val="24"/>
          <w:w w:val="100"/>
          <w:spacing w:val="0"/>
          <w:color w:val="000000"/>
          <w:position w:val="0"/>
        </w:rPr>
        <w:t>На основании вышеизложенного и руководствуясь статьями 99,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25"/>
        <w:widowControl w:val="0"/>
        <w:keepNext w:val="0"/>
        <w:keepLines w:val="0"/>
        <w:shd w:val="clear" w:color="auto" w:fill="auto"/>
        <w:bidi w:val="0"/>
        <w:jc w:val="center"/>
        <w:spacing w:before="0" w:after="252" w:line="240" w:lineRule="exact"/>
        <w:ind w:left="0" w:right="0" w:firstLine="0"/>
      </w:pPr>
      <w:r>
        <w:rPr>
          <w:lang w:val="ru-RU" w:eastAsia="ru-RU" w:bidi="ru-RU"/>
          <w:sz w:val="24"/>
          <w:szCs w:val="24"/>
          <w:w w:val="100"/>
          <w:spacing w:val="0"/>
          <w:color w:val="000000"/>
          <w:position w:val="0"/>
        </w:rPr>
        <w:t>РЕШИЛА:</w:t>
      </w:r>
    </w:p>
    <w:p>
      <w:pPr>
        <w:pStyle w:val="Style6"/>
        <w:widowControl w:val="0"/>
        <w:keepNext w:val="0"/>
        <w:keepLines w:val="0"/>
        <w:shd w:val="clear" w:color="auto" w:fill="auto"/>
        <w:bidi w:val="0"/>
        <w:jc w:val="both"/>
        <w:spacing w:before="0" w:after="282" w:line="298" w:lineRule="exact"/>
        <w:ind w:left="20" w:right="20" w:firstLine="560"/>
      </w:pPr>
      <w:r>
        <w:rPr>
          <w:lang w:val="ru-RU" w:eastAsia="ru-RU" w:bidi="ru-RU"/>
          <w:sz w:val="24"/>
          <w:szCs w:val="24"/>
          <w:w w:val="100"/>
          <w:spacing w:val="0"/>
          <w:color w:val="000000"/>
          <w:position w:val="0"/>
        </w:rPr>
        <w:t>Признать жалобу ООО «Медицинские расходные материалы» на действия Заказчика - ГБУЗ РК «Республиканская больница им.В.А.Баранова» при проведении электронного аукциона на поставку медицинских изделий для диагностических отделений (извещение № 0306500000321000045) необоснованной.</w:t>
      </w:r>
    </w:p>
    <w:p>
      <w:pPr>
        <w:pStyle w:val="Style37"/>
        <w:widowControl w:val="0"/>
        <w:keepNext w:val="0"/>
        <w:keepLines w:val="0"/>
        <w:shd w:val="clear" w:color="auto" w:fill="auto"/>
        <w:bidi w:val="0"/>
        <w:spacing w:before="0" w:after="0" w:line="170" w:lineRule="exact"/>
        <w:ind w:left="0" w:right="0" w:firstLine="0"/>
      </w:pPr>
      <w:r>
        <w:rPr>
          <w:lang w:val="ru-RU" w:eastAsia="ru-RU" w:bidi="ru-RU"/>
          <w:w w:val="100"/>
          <w:spacing w:val="0"/>
          <w:color w:val="000000"/>
          <w:position w:val="0"/>
        </w:rPr>
        <w:t>Настоящее решение может быть обжаловано в Арбитражном суде Республики Карелия в течение 3-х месяцев</w:t>
      </w:r>
    </w:p>
    <w:p>
      <w:pPr>
        <w:pStyle w:val="Style37"/>
        <w:widowControl w:val="0"/>
        <w:keepNext w:val="0"/>
        <w:keepLines w:val="0"/>
        <w:shd w:val="clear" w:color="auto" w:fill="auto"/>
        <w:bidi w:val="0"/>
        <w:spacing w:before="0" w:after="307" w:line="170" w:lineRule="exact"/>
        <w:ind w:left="0" w:right="0" w:firstLine="0"/>
      </w:pPr>
      <w:r>
        <w:rPr>
          <w:lang w:val="ru-RU" w:eastAsia="ru-RU" w:bidi="ru-RU"/>
          <w:w w:val="100"/>
          <w:spacing w:val="0"/>
          <w:color w:val="000000"/>
          <w:position w:val="0"/>
        </w:rPr>
        <w:t>с момента его принял</w:t>
      </w:r>
    </w:p>
    <w:p>
      <w:pPr>
        <w:pStyle w:val="Style6"/>
        <w:widowControl w:val="0"/>
        <w:keepNext w:val="0"/>
        <w:keepLines w:val="0"/>
        <w:shd w:val="clear" w:color="auto" w:fill="auto"/>
        <w:bidi w:val="0"/>
        <w:jc w:val="left"/>
        <w:spacing w:before="0" w:after="288" w:line="240" w:lineRule="exact"/>
        <w:ind w:left="20" w:right="0" w:firstLine="0"/>
      </w:pPr>
      <w:r>
        <w:rPr>
          <w:lang w:val="ru-RU" w:eastAsia="ru-RU" w:bidi="ru-RU"/>
          <w:sz w:val="24"/>
          <w:szCs w:val="24"/>
          <w:w w:val="100"/>
          <w:spacing w:val="0"/>
          <w:color w:val="000000"/>
          <w:position w:val="0"/>
        </w:rPr>
        <w:t>Заместитель Председателя Комиссии</w:t>
      </w:r>
    </w:p>
    <w:p>
      <w:pPr>
        <w:pStyle w:val="Style6"/>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1160" w:left="980" w:right="529" w:bottom="8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 9 pt,Полужирный,Интервал 1 pt"/>
    <w:basedOn w:val="CharStyle7"/>
    <w:rPr>
      <w:lang w:val="ru-RU" w:eastAsia="ru-RU" w:bidi="ru-RU"/>
      <w:b/>
      <w:bCs/>
      <w:sz w:val="18"/>
      <w:szCs w:val="18"/>
      <w:w w:val="100"/>
      <w:spacing w:val="30"/>
      <w:color w:val="000000"/>
      <w:position w:val="0"/>
    </w:rPr>
  </w:style>
  <w:style w:type="character" w:customStyle="1" w:styleId="CharStyle9">
    <w:name w:val="Основной текст"/>
    <w:basedOn w:val="CharStyle7"/>
    <w:rPr>
      <w:lang w:val="ru-RU" w:eastAsia="ru-RU" w:bidi="ru-RU"/>
      <w:sz w:val="24"/>
      <w:szCs w:val="24"/>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lang w:val="ru-RU" w:eastAsia="ru-RU" w:bidi="ru-RU"/>
      <w:w w:val="100"/>
      <w:spacing w:val="0"/>
      <w:color w:val="000000"/>
      <w:position w:val="0"/>
    </w:rPr>
  </w:style>
  <w:style w:type="character" w:customStyle="1" w:styleId="CharStyle15">
    <w:name w:val="Основной текст (4)_"/>
    <w:basedOn w:val="DefaultParagraphFont"/>
    <w:link w:val="Style14"/>
    <w:rPr>
      <w:b w:val="0"/>
      <w:bCs w:val="0"/>
      <w:i/>
      <w:iCs/>
      <w:u w:val="none"/>
      <w:strike w:val="0"/>
      <w:smallCaps w:val="0"/>
      <w:rFonts w:ascii="Consolas" w:eastAsia="Consolas" w:hAnsi="Consolas" w:cs="Consolas"/>
      <w:spacing w:val="50"/>
    </w:rPr>
  </w:style>
  <w:style w:type="character" w:customStyle="1" w:styleId="CharStyle16">
    <w:name w:val="Основной текст (4) + 8 pt,Полужирный,Не курсив,Интервал 0 pt"/>
    <w:basedOn w:val="CharStyle15"/>
    <w:rPr>
      <w:lang w:val="ru-RU" w:eastAsia="ru-RU" w:bidi="ru-RU"/>
      <w:b/>
      <w:bCs/>
      <w:i/>
      <w:iCs/>
      <w:u w:val="single"/>
      <w:sz w:val="16"/>
      <w:szCs w:val="16"/>
      <w:w w:val="100"/>
      <w:spacing w:val="0"/>
      <w:color w:val="000000"/>
      <w:position w:val="0"/>
    </w:rPr>
  </w:style>
  <w:style w:type="character" w:customStyle="1" w:styleId="CharStyle17">
    <w:name w:val="Основной текст (4) + Times New Roman,15 pt,Не курсив,Интервал 0 pt"/>
    <w:basedOn w:val="CharStyle15"/>
    <w:rPr>
      <w:lang w:val="ru-RU" w:eastAsia="ru-RU" w:bidi="ru-RU"/>
      <w:i/>
      <w:iCs/>
      <w:u w:val="single"/>
      <w:sz w:val="30"/>
      <w:szCs w:val="30"/>
      <w:rFonts w:ascii="Times New Roman" w:eastAsia="Times New Roman" w:hAnsi="Times New Roman" w:cs="Times New Roman"/>
      <w:w w:val="100"/>
      <w:spacing w:val="0"/>
      <w:color w:val="000000"/>
      <w:position w:val="0"/>
    </w:rPr>
  </w:style>
  <w:style w:type="character" w:customStyle="1" w:styleId="CharStyle18">
    <w:name w:val="Основной текст (4) + Times New Roman,13 pt,Не курсив,Интервал 1 pt"/>
    <w:basedOn w:val="CharStyle15"/>
    <w:rPr>
      <w:lang w:val="en-US" w:eastAsia="en-US" w:bidi="en-US"/>
      <w:i/>
      <w:iCs/>
      <w:u w:val="single"/>
      <w:sz w:val="26"/>
      <w:szCs w:val="26"/>
      <w:rFonts w:ascii="Times New Roman" w:eastAsia="Times New Roman" w:hAnsi="Times New Roman" w:cs="Times New Roman"/>
      <w:w w:val="100"/>
      <w:spacing w:val="20"/>
      <w:color w:val="000000"/>
      <w:position w:val="0"/>
    </w:rPr>
  </w:style>
  <w:style w:type="character" w:customStyle="1" w:styleId="CharStyle19">
    <w:name w:val="Основной текст (4) + Times New Roman,13 pt,Не курсив,Интервал 1 pt"/>
    <w:basedOn w:val="CharStyle15"/>
    <w:rPr>
      <w:lang w:val="ru-RU" w:eastAsia="ru-RU" w:bidi="ru-RU"/>
      <w:i/>
      <w:iCs/>
      <w:sz w:val="26"/>
      <w:szCs w:val="26"/>
      <w:rFonts w:ascii="Times New Roman" w:eastAsia="Times New Roman" w:hAnsi="Times New Roman" w:cs="Times New Roman"/>
      <w:w w:val="100"/>
      <w:spacing w:val="20"/>
      <w:color w:val="000000"/>
      <w:position w:val="0"/>
    </w:rPr>
  </w:style>
  <w:style w:type="character" w:customStyle="1" w:styleId="CharStyle20">
    <w:name w:val="Основной текст (4) + Times New Roman,13 pt,Интервал 0 pt"/>
    <w:basedOn w:val="CharStyle15"/>
    <w:rPr>
      <w:lang w:val="en-US" w:eastAsia="en-US" w:bidi="en-US"/>
      <w:u w:val="single"/>
      <w:sz w:val="26"/>
      <w:szCs w:val="26"/>
      <w:rFonts w:ascii="Times New Roman" w:eastAsia="Times New Roman" w:hAnsi="Times New Roman" w:cs="Times New Roman"/>
      <w:w w:val="100"/>
      <w:spacing w:val="-10"/>
      <w:color w:val="000000"/>
      <w:position w:val="0"/>
    </w:rPr>
  </w:style>
  <w:style w:type="character" w:customStyle="1" w:styleId="CharStyle21">
    <w:name w:val="Основной текст (4)"/>
    <w:basedOn w:val="CharStyle15"/>
    <w:rPr>
      <w:lang w:val="ru-RU" w:eastAsia="ru-RU" w:bidi="ru-RU"/>
      <w:u w:val="single"/>
      <w:sz w:val="24"/>
      <w:szCs w:val="24"/>
      <w:w w:val="100"/>
      <w:color w:val="000000"/>
      <w:position w:val="0"/>
    </w:rPr>
  </w:style>
  <w:style w:type="character" w:customStyle="1" w:styleId="CharStyle22">
    <w:name w:val="Основной текст (4) + Times New Roman,11,5 pt,Интервал 0 pt"/>
    <w:basedOn w:val="CharStyle15"/>
    <w:rPr>
      <w:lang w:val="ru-RU" w:eastAsia="ru-RU" w:bidi="ru-RU"/>
      <w:u w:val="single"/>
      <w:sz w:val="23"/>
      <w:szCs w:val="23"/>
      <w:rFonts w:ascii="Times New Roman" w:eastAsia="Times New Roman" w:hAnsi="Times New Roman" w:cs="Times New Roman"/>
      <w:w w:val="100"/>
      <w:spacing w:val="-10"/>
      <w:color w:val="000000"/>
      <w:position w:val="0"/>
    </w:rPr>
  </w:style>
  <w:style w:type="character" w:customStyle="1" w:styleId="CharStyle23">
    <w:name w:val="Основной текст (4)"/>
    <w:basedOn w:val="CharStyle15"/>
    <w:rPr>
      <w:lang w:val="en-US" w:eastAsia="en-US" w:bidi="en-US"/>
      <w:sz w:val="24"/>
      <w:szCs w:val="24"/>
      <w:w w:val="100"/>
      <w:color w:val="000000"/>
      <w:position w:val="0"/>
    </w:rPr>
  </w:style>
  <w:style w:type="character" w:customStyle="1" w:styleId="CharStyle24">
    <w:name w:val="Основной текст (2)"/>
    <w:basedOn w:val="CharStyle4"/>
    <w:rPr>
      <w:lang w:val="ru-RU" w:eastAsia="ru-RU" w:bidi="ru-RU"/>
      <w:w w:val="100"/>
      <w:spacing w:val="0"/>
      <w:color w:val="000000"/>
      <w:position w:val="0"/>
    </w:rPr>
  </w:style>
  <w:style w:type="character" w:customStyle="1" w:styleId="CharStyle26">
    <w:name w:val="Основной текст (5)_"/>
    <w:basedOn w:val="DefaultParagraphFont"/>
    <w:link w:val="Style25"/>
    <w:rPr>
      <w:b/>
      <w:bCs/>
      <w:i w:val="0"/>
      <w:iCs w:val="0"/>
      <w:u w:val="none"/>
      <w:strike w:val="0"/>
      <w:smallCaps w:val="0"/>
      <w:rFonts w:ascii="Times New Roman" w:eastAsia="Times New Roman" w:hAnsi="Times New Roman" w:cs="Times New Roman"/>
    </w:rPr>
  </w:style>
  <w:style w:type="character" w:customStyle="1" w:styleId="CharStyle2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3"/>
    </w:rPr>
  </w:style>
  <w:style w:type="character" w:customStyle="1" w:styleId="CharStyle29">
    <w:name w:val="Заголовок №1_"/>
    <w:basedOn w:val="DefaultParagraphFont"/>
    <w:link w:val="Style28"/>
    <w:rPr>
      <w:b/>
      <w:bCs/>
      <w:i w:val="0"/>
      <w:iCs w:val="0"/>
      <w:u w:val="none"/>
      <w:strike w:val="0"/>
      <w:smallCaps w:val="0"/>
      <w:rFonts w:ascii="Times New Roman" w:eastAsia="Times New Roman" w:hAnsi="Times New Roman" w:cs="Times New Roman"/>
    </w:rPr>
  </w:style>
  <w:style w:type="character" w:customStyle="1" w:styleId="CharStyle30">
    <w:name w:val="Основной текст"/>
    <w:basedOn w:val="CharStyle7"/>
    <w:rPr>
      <w:lang w:val="ru-RU" w:eastAsia="ru-RU" w:bidi="ru-RU"/>
      <w:u w:val="single"/>
      <w:sz w:val="24"/>
      <w:szCs w:val="24"/>
      <w:w w:val="100"/>
      <w:spacing w:val="0"/>
      <w:color w:val="000000"/>
      <w:position w:val="0"/>
    </w:rPr>
  </w:style>
  <w:style w:type="character" w:customStyle="1" w:styleId="CharStyle31">
    <w:name w:val="Основной текст + Полужирный"/>
    <w:basedOn w:val="CharStyle7"/>
    <w:rPr>
      <w:lang w:val="ru-RU" w:eastAsia="ru-RU" w:bidi="ru-RU"/>
      <w:b/>
      <w:bCs/>
      <w:sz w:val="24"/>
      <w:szCs w:val="24"/>
      <w:w w:val="100"/>
      <w:spacing w:val="0"/>
      <w:color w:val="000000"/>
      <w:position w:val="0"/>
    </w:rPr>
  </w:style>
  <w:style w:type="character" w:customStyle="1" w:styleId="CharStyle32">
    <w:name w:val="Основной текст + 8,5 pt"/>
    <w:basedOn w:val="CharStyle7"/>
    <w:rPr>
      <w:lang w:val="ru-RU" w:eastAsia="ru-RU" w:bidi="ru-RU"/>
      <w:sz w:val="17"/>
      <w:szCs w:val="17"/>
      <w:w w:val="100"/>
      <w:spacing w:val="0"/>
      <w:color w:val="000000"/>
      <w:position w:val="0"/>
    </w:rPr>
  </w:style>
  <w:style w:type="character" w:customStyle="1" w:styleId="CharStyle33">
    <w:name w:val="Основной текст + 8 pt,Полужирный"/>
    <w:basedOn w:val="CharStyle7"/>
    <w:rPr>
      <w:lang w:val="ru-RU" w:eastAsia="ru-RU" w:bidi="ru-RU"/>
      <w:b/>
      <w:bCs/>
      <w:sz w:val="16"/>
      <w:szCs w:val="16"/>
      <w:w w:val="100"/>
      <w:spacing w:val="0"/>
      <w:color w:val="000000"/>
      <w:position w:val="0"/>
    </w:rPr>
  </w:style>
  <w:style w:type="character" w:customStyle="1" w:styleId="CharStyle34">
    <w:name w:val="Основной текст + 10 pt,Полужирный,Курсив"/>
    <w:basedOn w:val="CharStyle7"/>
    <w:rPr>
      <w:lang w:val="ru-RU" w:eastAsia="ru-RU" w:bidi="ru-RU"/>
      <w:b/>
      <w:bCs/>
      <w:i/>
      <w:iCs/>
      <w:sz w:val="20"/>
      <w:szCs w:val="20"/>
      <w:w w:val="100"/>
      <w:spacing w:val="0"/>
      <w:color w:val="000000"/>
      <w:position w:val="0"/>
    </w:rPr>
  </w:style>
  <w:style w:type="character" w:customStyle="1" w:styleId="CharStyle35">
    <w:name w:val="Основной текст + Tahoma,11,5 pt,Курсив"/>
    <w:basedOn w:val="CharStyle7"/>
    <w:rPr>
      <w:lang w:val="ru-RU" w:eastAsia="ru-RU" w:bidi="ru-RU"/>
      <w:i/>
      <w:iCs/>
      <w:sz w:val="23"/>
      <w:szCs w:val="23"/>
      <w:rFonts w:ascii="Tahoma" w:eastAsia="Tahoma" w:hAnsi="Tahoma" w:cs="Tahoma"/>
      <w:w w:val="100"/>
      <w:spacing w:val="0"/>
      <w:color w:val="000000"/>
      <w:position w:val="0"/>
    </w:rPr>
  </w:style>
  <w:style w:type="character" w:customStyle="1" w:styleId="CharStyle36">
    <w:name w:val="Основной текст + 8,5 pt,Курсив"/>
    <w:basedOn w:val="CharStyle7"/>
    <w:rPr>
      <w:lang w:val="ru-RU" w:eastAsia="ru-RU" w:bidi="ru-RU"/>
      <w:i/>
      <w:iCs/>
      <w:sz w:val="17"/>
      <w:szCs w:val="17"/>
      <w:w w:val="100"/>
      <w:spacing w:val="0"/>
      <w:color w:val="000000"/>
      <w:position w:val="0"/>
    </w:rPr>
  </w:style>
  <w:style w:type="character" w:customStyle="1" w:styleId="CharStyle38">
    <w:name w:val="Основной текст (6)_"/>
    <w:basedOn w:val="DefaultParagraphFont"/>
    <w:link w:val="Style37"/>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line="254"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line="302"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both"/>
      <w:spacing w:before="300" w:after="180" w:line="0" w:lineRule="exact"/>
    </w:pPr>
    <w:rPr>
      <w:b w:val="0"/>
      <w:bCs w:val="0"/>
      <w:i/>
      <w:iCs/>
      <w:u w:val="none"/>
      <w:strike w:val="0"/>
      <w:smallCaps w:val="0"/>
      <w:rFonts w:ascii="Consolas" w:eastAsia="Consolas" w:hAnsi="Consolas" w:cs="Consolas"/>
      <w:spacing w:val="50"/>
    </w:rPr>
  </w:style>
  <w:style w:type="paragraph" w:customStyle="1" w:styleId="Style25">
    <w:name w:val="Основной текст (5)"/>
    <w:basedOn w:val="Normal"/>
    <w:link w:val="CharStyle26"/>
    <w:pPr>
      <w:widowControl w:val="0"/>
      <w:shd w:val="clear" w:color="auto" w:fill="FFFFFF"/>
      <w:spacing w:after="240" w:line="293" w:lineRule="exact"/>
    </w:pPr>
    <w:rPr>
      <w:b/>
      <w:bCs/>
      <w:i w:val="0"/>
      <w:iCs w:val="0"/>
      <w:u w:val="none"/>
      <w:strike w:val="0"/>
      <w:smallCaps w:val="0"/>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center"/>
      <w:outlineLvl w:val="0"/>
      <w:spacing w:before="60" w:after="180" w:line="0" w:lineRule="exact"/>
    </w:pPr>
    <w:rPr>
      <w:b/>
      <w:bCs/>
      <w:i w:val="0"/>
      <w:iCs w:val="0"/>
      <w:u w:val="none"/>
      <w:strike w:val="0"/>
      <w:smallCaps w:val="0"/>
      <w:rFonts w:ascii="Times New Roman" w:eastAsia="Times New Roman" w:hAnsi="Times New Roman" w:cs="Times New Roman"/>
    </w:rPr>
  </w:style>
  <w:style w:type="paragraph" w:customStyle="1" w:styleId="Style37">
    <w:name w:val="Основной текст (6)"/>
    <w:basedOn w:val="Normal"/>
    <w:link w:val="CharStyle38"/>
    <w:pPr>
      <w:widowControl w:val="0"/>
      <w:shd w:val="clear" w:color="auto" w:fill="FFFFFF"/>
      <w:jc w:val="center"/>
      <w:spacing w:before="180" w:after="60" w:line="0"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